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7E82" w14:textId="4CCB7F04" w:rsidR="0045133C" w:rsidRDefault="0045133C" w:rsidP="00377C8C">
      <w:pPr>
        <w:tabs>
          <w:tab w:val="left" w:pos="3675"/>
          <w:tab w:val="left" w:pos="5159"/>
          <w:tab w:val="center" w:pos="5741"/>
        </w:tabs>
        <w:suppressAutoHyphens/>
        <w:spacing w:after="0" w:line="240" w:lineRule="auto"/>
        <w:ind w:left="1701" w:right="709"/>
        <w:contextualSpacing/>
        <w:jc w:val="center"/>
        <w:rPr>
          <w:rFonts w:ascii="Times New Roman" w:hAnsi="Times New Roman" w:cs="Times New Roman"/>
          <w:b/>
          <w:i/>
          <w:sz w:val="20"/>
          <w:szCs w:val="20"/>
        </w:rPr>
      </w:pPr>
      <w:r w:rsidRPr="00551974">
        <w:rPr>
          <w:rFonts w:ascii="Times New Roman" w:hAnsi="Times New Roman" w:cs="Times New Roman"/>
          <w:b/>
          <w:noProof/>
          <w:sz w:val="32"/>
          <w:szCs w:val="32"/>
          <w:lang w:eastAsia="fr-FR"/>
        </w:rPr>
        <w:drawing>
          <wp:anchor distT="0" distB="0" distL="114300" distR="114300" simplePos="0" relativeHeight="251623936" behindDoc="0" locked="0" layoutInCell="1" allowOverlap="1" wp14:anchorId="54424A2D" wp14:editId="0995B520">
            <wp:simplePos x="0" y="0"/>
            <wp:positionH relativeFrom="column">
              <wp:posOffset>-34290</wp:posOffset>
            </wp:positionH>
            <wp:positionV relativeFrom="paragraph">
              <wp:posOffset>40005</wp:posOffset>
            </wp:positionV>
            <wp:extent cx="843770" cy="93745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3770" cy="937452"/>
                    </a:xfrm>
                    <a:prstGeom prst="rect">
                      <a:avLst/>
                    </a:prstGeom>
                  </pic:spPr>
                </pic:pic>
              </a:graphicData>
            </a:graphic>
            <wp14:sizeRelH relativeFrom="margin">
              <wp14:pctWidth>0</wp14:pctWidth>
            </wp14:sizeRelH>
            <wp14:sizeRelV relativeFrom="margin">
              <wp14:pctHeight>0</wp14:pctHeight>
            </wp14:sizeRelV>
          </wp:anchor>
        </w:drawing>
      </w:r>
      <w:r w:rsidRPr="00551974">
        <w:rPr>
          <w:rFonts w:ascii="Times New Roman" w:hAnsi="Times New Roman" w:cs="Times New Roman"/>
          <w:b/>
          <w:i/>
          <w:sz w:val="20"/>
          <w:szCs w:val="20"/>
        </w:rPr>
        <w:t>S</w:t>
      </w:r>
      <w:r w:rsidR="00303B88">
        <w:rPr>
          <w:rFonts w:ascii="Times New Roman" w:hAnsi="Times New Roman" w:cs="Times New Roman"/>
          <w:b/>
          <w:i/>
          <w:sz w:val="20"/>
          <w:szCs w:val="20"/>
        </w:rPr>
        <w:t>0</w:t>
      </w:r>
      <w:r w:rsidR="00924F43">
        <w:rPr>
          <w:rFonts w:ascii="Times New Roman" w:hAnsi="Times New Roman" w:cs="Times New Roman"/>
          <w:b/>
          <w:i/>
          <w:sz w:val="20"/>
          <w:szCs w:val="20"/>
        </w:rPr>
        <w:t>7</w:t>
      </w:r>
      <w:r w:rsidRPr="00551974">
        <w:rPr>
          <w:rFonts w:ascii="Times New Roman" w:hAnsi="Times New Roman" w:cs="Times New Roman"/>
          <w:b/>
          <w:i/>
          <w:sz w:val="20"/>
          <w:szCs w:val="20"/>
        </w:rPr>
        <w:t xml:space="preserve"> </w:t>
      </w:r>
      <w:r w:rsidR="00504C65">
        <w:rPr>
          <w:rFonts w:ascii="Times New Roman" w:hAnsi="Times New Roman" w:cs="Times New Roman"/>
          <w:b/>
          <w:i/>
          <w:sz w:val="20"/>
          <w:szCs w:val="20"/>
        </w:rPr>
        <w:t>–</w:t>
      </w:r>
      <w:r w:rsidRPr="00551974">
        <w:rPr>
          <w:rFonts w:ascii="Times New Roman" w:hAnsi="Times New Roman" w:cs="Times New Roman"/>
          <w:b/>
          <w:i/>
          <w:sz w:val="20"/>
          <w:szCs w:val="20"/>
        </w:rPr>
        <w:t xml:space="preserve"> Information</w:t>
      </w:r>
      <w:r w:rsidR="00924F43">
        <w:rPr>
          <w:rFonts w:ascii="Times New Roman" w:hAnsi="Times New Roman" w:cs="Times New Roman"/>
          <w:b/>
          <w:i/>
          <w:sz w:val="20"/>
          <w:szCs w:val="20"/>
        </w:rPr>
        <w:t xml:space="preserve"> CSE</w:t>
      </w:r>
      <w:r w:rsidRPr="00551974">
        <w:rPr>
          <w:rFonts w:ascii="Times New Roman" w:hAnsi="Times New Roman" w:cs="Times New Roman"/>
          <w:b/>
          <w:i/>
          <w:sz w:val="20"/>
          <w:szCs w:val="20"/>
        </w:rPr>
        <w:t xml:space="preserve"> aux salariés</w:t>
      </w:r>
    </w:p>
    <w:p w14:paraId="5F488CE7" w14:textId="04B0A89D" w:rsidR="00025EF8" w:rsidRDefault="00E065A1" w:rsidP="00377C8C">
      <w:pPr>
        <w:pBdr>
          <w:top w:val="single" w:sz="12" w:space="1" w:color="auto" w:shadow="1"/>
          <w:left w:val="single" w:sz="12" w:space="4" w:color="auto" w:shadow="1"/>
          <w:bottom w:val="single" w:sz="12" w:space="1" w:color="auto" w:shadow="1"/>
          <w:right w:val="single" w:sz="12" w:space="31" w:color="auto" w:shadow="1"/>
        </w:pBdr>
        <w:suppressAutoHyphens/>
        <w:spacing w:after="0" w:line="240" w:lineRule="auto"/>
        <w:ind w:left="1418" w:right="709"/>
        <w:contextualSpacing/>
        <w:jc w:val="center"/>
        <w:rPr>
          <w:rFonts w:ascii="Comic Sans MS" w:hAnsi="Comic Sans MS" w:cs="Aharoni"/>
          <w:b/>
          <w:noProof/>
          <w:color w:val="FF0000"/>
          <w:spacing w:val="-30"/>
          <w:sz w:val="40"/>
          <w:szCs w:val="40"/>
        </w:rPr>
      </w:pPr>
      <w:bookmarkStart w:id="0" w:name="_Hlk525370240"/>
      <w:bookmarkEnd w:id="0"/>
      <w:r>
        <w:rPr>
          <w:rFonts w:ascii="Comic Sans MS" w:hAnsi="Comic Sans MS" w:cs="Aharoni"/>
          <w:b/>
          <w:noProof/>
          <w:color w:val="FF0000"/>
          <w:spacing w:val="-30"/>
          <w:sz w:val="40"/>
          <w:szCs w:val="40"/>
        </w:rPr>
        <w:t>De l’argent pour augmenter les salaires pas pour les actionnaires</w:t>
      </w:r>
      <w:r w:rsidR="0086445F" w:rsidRPr="00573EA9">
        <w:rPr>
          <w:rFonts w:ascii="Comic Sans MS" w:hAnsi="Comic Sans MS" w:cs="Aharoni"/>
          <w:b/>
          <w:noProof/>
          <w:color w:val="FF0000"/>
          <w:spacing w:val="-30"/>
          <w:sz w:val="40"/>
          <w:szCs w:val="40"/>
        </w:rPr>
        <w:t> !</w:t>
      </w:r>
    </w:p>
    <w:p w14:paraId="00801041" w14:textId="77777777" w:rsidR="00876A2E" w:rsidRDefault="00876A2E" w:rsidP="00377C8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240" w:after="0" w:line="240" w:lineRule="auto"/>
        <w:jc w:val="center"/>
        <w:textAlignment w:val="baseline"/>
        <w:rPr>
          <w:rFonts w:ascii="Comic Sans MS" w:hAnsi="Comic Sans MS" w:cs="Times New Roman"/>
          <w:b/>
          <w:bCs/>
          <w:color w:val="FF0000"/>
          <w:spacing w:val="-20"/>
          <w:sz w:val="32"/>
          <w:szCs w:val="32"/>
        </w:rPr>
        <w:sectPr w:rsidR="00876A2E" w:rsidSect="00170453">
          <w:footerReference w:type="default" r:id="rId8"/>
          <w:type w:val="continuous"/>
          <w:pgSz w:w="11906" w:h="16838" w:code="9"/>
          <w:pgMar w:top="425" w:right="425" w:bottom="142" w:left="709" w:header="709" w:footer="323" w:gutter="0"/>
          <w:cols w:space="708"/>
          <w:docGrid w:linePitch="360"/>
        </w:sectPr>
      </w:pPr>
    </w:p>
    <w:p w14:paraId="686DB2F9" w14:textId="77777777" w:rsidR="00F300C1" w:rsidRPr="008D3A58" w:rsidRDefault="00F300C1" w:rsidP="00377C8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120" w:after="0" w:line="240" w:lineRule="auto"/>
        <w:jc w:val="center"/>
        <w:textAlignment w:val="baseline"/>
        <w:rPr>
          <w:rFonts w:ascii="Comic Sans MS" w:hAnsi="Comic Sans MS" w:cs="Times New Roman"/>
          <w:b/>
          <w:bCs/>
          <w:color w:val="FF0000"/>
          <w:sz w:val="32"/>
          <w:szCs w:val="32"/>
        </w:rPr>
      </w:pPr>
      <w:r w:rsidRPr="008D3A58">
        <w:rPr>
          <w:rFonts w:ascii="Comic Sans MS" w:hAnsi="Comic Sans MS" w:cs="Times New Roman"/>
          <w:b/>
          <w:bCs/>
          <w:color w:val="FF0000"/>
          <w:sz w:val="32"/>
          <w:szCs w:val="32"/>
        </w:rPr>
        <w:t>Pour nous les salaires c’est tous ensemble !</w:t>
      </w:r>
    </w:p>
    <w:p w14:paraId="3007FA35" w14:textId="77D88CF9" w:rsidR="003A7E07" w:rsidRDefault="00F300C1" w:rsidP="00377C8C">
      <w:pPr>
        <w:shd w:val="clear" w:color="auto" w:fill="FFFFFF"/>
        <w:spacing w:before="60" w:after="0" w:line="240" w:lineRule="auto"/>
        <w:jc w:val="both"/>
        <w:textAlignment w:val="baseline"/>
        <w:rPr>
          <w:rFonts w:ascii="Times New Roman" w:hAnsi="Times New Roman" w:cs="Times New Roman"/>
          <w:b/>
          <w:bCs/>
          <w:sz w:val="24"/>
          <w:szCs w:val="24"/>
        </w:rPr>
      </w:pPr>
      <w:r w:rsidRPr="008F4B0C">
        <w:rPr>
          <w:rFonts w:ascii="Times New Roman" w:hAnsi="Times New Roman" w:cs="Times New Roman"/>
          <w:sz w:val="24"/>
          <w:szCs w:val="24"/>
        </w:rPr>
        <w:t>La deuxième réunion salaire aura lieu le 22 février 2022, la CGT</w:t>
      </w:r>
      <w:r w:rsidR="008F4B0C">
        <w:rPr>
          <w:rFonts w:ascii="Times New Roman" w:hAnsi="Times New Roman" w:cs="Times New Roman"/>
          <w:sz w:val="24"/>
          <w:szCs w:val="24"/>
        </w:rPr>
        <w:t>,</w:t>
      </w:r>
      <w:r w:rsidRPr="008F4B0C">
        <w:rPr>
          <w:rFonts w:ascii="Times New Roman" w:hAnsi="Times New Roman" w:cs="Times New Roman"/>
          <w:sz w:val="24"/>
          <w:szCs w:val="24"/>
        </w:rPr>
        <w:t xml:space="preserve"> comme vous</w:t>
      </w:r>
      <w:r w:rsidR="008F4B0C">
        <w:rPr>
          <w:rFonts w:ascii="Times New Roman" w:hAnsi="Times New Roman" w:cs="Times New Roman"/>
          <w:sz w:val="24"/>
          <w:szCs w:val="24"/>
        </w:rPr>
        <w:t>,</w:t>
      </w:r>
      <w:r w:rsidRPr="008F4B0C">
        <w:rPr>
          <w:rFonts w:ascii="Times New Roman" w:hAnsi="Times New Roman" w:cs="Times New Roman"/>
          <w:sz w:val="24"/>
          <w:szCs w:val="24"/>
        </w:rPr>
        <w:t xml:space="preserve"> fai</w:t>
      </w:r>
      <w:r w:rsidR="008F4B0C">
        <w:rPr>
          <w:rFonts w:ascii="Times New Roman" w:hAnsi="Times New Roman" w:cs="Times New Roman"/>
          <w:sz w:val="24"/>
          <w:szCs w:val="24"/>
        </w:rPr>
        <w:t>t</w:t>
      </w:r>
      <w:r w:rsidRPr="008F4B0C">
        <w:rPr>
          <w:rFonts w:ascii="Times New Roman" w:hAnsi="Times New Roman" w:cs="Times New Roman"/>
          <w:sz w:val="24"/>
          <w:szCs w:val="24"/>
        </w:rPr>
        <w:t xml:space="preserve"> le constat de la réalité </w:t>
      </w:r>
      <w:r w:rsidR="003442DA">
        <w:rPr>
          <w:rFonts w:ascii="Times New Roman" w:hAnsi="Times New Roman" w:cs="Times New Roman"/>
          <w:sz w:val="24"/>
          <w:szCs w:val="24"/>
        </w:rPr>
        <w:t>suivante</w:t>
      </w:r>
      <w:r w:rsidRPr="008F4B0C">
        <w:rPr>
          <w:rFonts w:ascii="Times New Roman" w:hAnsi="Times New Roman" w:cs="Times New Roman"/>
          <w:sz w:val="24"/>
          <w:szCs w:val="24"/>
        </w:rPr>
        <w:t xml:space="preserve"> : </w:t>
      </w:r>
      <w:r w:rsidRPr="008F4B0C">
        <w:rPr>
          <w:rFonts w:ascii="Times New Roman" w:hAnsi="Times New Roman" w:cs="Times New Roman"/>
          <w:b/>
          <w:bCs/>
          <w:color w:val="FF0000"/>
          <w:sz w:val="24"/>
          <w:szCs w:val="24"/>
        </w:rPr>
        <w:t>nos salaires ne suffisent pas pour vivre</w:t>
      </w:r>
      <w:r w:rsidRPr="008F4B0C">
        <w:rPr>
          <w:rFonts w:ascii="Times New Roman" w:hAnsi="Times New Roman" w:cs="Times New Roman"/>
          <w:sz w:val="24"/>
          <w:szCs w:val="24"/>
        </w:rPr>
        <w:t xml:space="preserve">. Partant de </w:t>
      </w:r>
      <w:r w:rsidR="008F4B0C" w:rsidRPr="008F4B0C">
        <w:rPr>
          <w:rFonts w:ascii="Times New Roman" w:hAnsi="Times New Roman" w:cs="Times New Roman"/>
          <w:sz w:val="24"/>
          <w:szCs w:val="24"/>
        </w:rPr>
        <w:t>ce</w:t>
      </w:r>
      <w:r w:rsidRPr="008F4B0C">
        <w:rPr>
          <w:rFonts w:ascii="Times New Roman" w:hAnsi="Times New Roman" w:cs="Times New Roman"/>
          <w:sz w:val="24"/>
          <w:szCs w:val="24"/>
        </w:rPr>
        <w:t xml:space="preserve"> constat, et fidèle à nos valeurs du tous ensemble, </w:t>
      </w:r>
      <w:r w:rsidR="003442DA">
        <w:rPr>
          <w:rFonts w:ascii="Times New Roman" w:hAnsi="Times New Roman" w:cs="Times New Roman"/>
          <w:b/>
          <w:bCs/>
          <w:sz w:val="24"/>
          <w:szCs w:val="24"/>
        </w:rPr>
        <w:t>qui fait</w:t>
      </w:r>
      <w:r w:rsidRPr="003A7E07">
        <w:rPr>
          <w:rFonts w:ascii="Times New Roman" w:hAnsi="Times New Roman" w:cs="Times New Roman"/>
          <w:b/>
          <w:bCs/>
          <w:sz w:val="24"/>
          <w:szCs w:val="24"/>
        </w:rPr>
        <w:t xml:space="preserve"> </w:t>
      </w:r>
      <w:r w:rsidR="003A7E07" w:rsidRPr="003A7E07">
        <w:rPr>
          <w:rFonts w:ascii="Times New Roman" w:hAnsi="Times New Roman" w:cs="Times New Roman"/>
          <w:b/>
          <w:bCs/>
          <w:sz w:val="24"/>
          <w:szCs w:val="24"/>
        </w:rPr>
        <w:t>suite à la demande des salariés,</w:t>
      </w:r>
      <w:r w:rsidRPr="003A7E07">
        <w:rPr>
          <w:rFonts w:ascii="Times New Roman" w:hAnsi="Times New Roman" w:cs="Times New Roman"/>
          <w:b/>
          <w:bCs/>
          <w:sz w:val="24"/>
          <w:szCs w:val="24"/>
        </w:rPr>
        <w:t xml:space="preserve"> </w:t>
      </w:r>
      <w:r w:rsidR="003A7E07" w:rsidRPr="008D3A58">
        <w:rPr>
          <w:rFonts w:ascii="Times New Roman" w:hAnsi="Times New Roman" w:cs="Times New Roman"/>
          <w:sz w:val="24"/>
          <w:szCs w:val="24"/>
        </w:rPr>
        <w:t>n</w:t>
      </w:r>
      <w:r w:rsidRPr="008D3A58">
        <w:rPr>
          <w:rFonts w:ascii="Times New Roman" w:hAnsi="Times New Roman" w:cs="Times New Roman"/>
          <w:sz w:val="24"/>
          <w:szCs w:val="24"/>
        </w:rPr>
        <w:t xml:space="preserve">ous avons </w:t>
      </w:r>
      <w:r w:rsidR="003442DA">
        <w:rPr>
          <w:rFonts w:ascii="Times New Roman" w:hAnsi="Times New Roman" w:cs="Times New Roman"/>
          <w:sz w:val="24"/>
          <w:szCs w:val="24"/>
        </w:rPr>
        <w:t>proposé</w:t>
      </w:r>
      <w:r w:rsidRPr="008D3A58">
        <w:rPr>
          <w:rFonts w:ascii="Times New Roman" w:hAnsi="Times New Roman" w:cs="Times New Roman"/>
          <w:sz w:val="24"/>
          <w:szCs w:val="24"/>
        </w:rPr>
        <w:t xml:space="preserve"> au</w:t>
      </w:r>
      <w:r w:rsidR="008F4B0C" w:rsidRPr="008D3A58">
        <w:rPr>
          <w:rFonts w:ascii="Times New Roman" w:hAnsi="Times New Roman" w:cs="Times New Roman"/>
          <w:sz w:val="24"/>
          <w:szCs w:val="24"/>
        </w:rPr>
        <w:t>x</w:t>
      </w:r>
      <w:r w:rsidRPr="008D3A58">
        <w:rPr>
          <w:rFonts w:ascii="Times New Roman" w:hAnsi="Times New Roman" w:cs="Times New Roman"/>
          <w:sz w:val="24"/>
          <w:szCs w:val="24"/>
        </w:rPr>
        <w:t xml:space="preserve"> </w:t>
      </w:r>
      <w:r w:rsidR="003A7E07" w:rsidRPr="008D3A58">
        <w:rPr>
          <w:rFonts w:ascii="Times New Roman" w:hAnsi="Times New Roman" w:cs="Times New Roman"/>
          <w:sz w:val="24"/>
          <w:szCs w:val="24"/>
        </w:rPr>
        <w:t xml:space="preserve">autres </w:t>
      </w:r>
      <w:r w:rsidRPr="008D3A58">
        <w:rPr>
          <w:rFonts w:ascii="Times New Roman" w:hAnsi="Times New Roman" w:cs="Times New Roman"/>
          <w:sz w:val="24"/>
          <w:szCs w:val="24"/>
        </w:rPr>
        <w:t>syndicat</w:t>
      </w:r>
      <w:r w:rsidR="008F4B0C" w:rsidRPr="008D3A58">
        <w:rPr>
          <w:rFonts w:ascii="Times New Roman" w:hAnsi="Times New Roman" w:cs="Times New Roman"/>
          <w:sz w:val="24"/>
          <w:szCs w:val="24"/>
        </w:rPr>
        <w:t>s</w:t>
      </w:r>
      <w:r w:rsidRPr="008D3A58">
        <w:rPr>
          <w:rFonts w:ascii="Times New Roman" w:hAnsi="Times New Roman" w:cs="Times New Roman"/>
          <w:sz w:val="24"/>
          <w:szCs w:val="24"/>
        </w:rPr>
        <w:t xml:space="preserve"> du site</w:t>
      </w:r>
      <w:r w:rsidR="00B07433">
        <w:rPr>
          <w:rFonts w:ascii="Times New Roman" w:hAnsi="Times New Roman" w:cs="Times New Roman"/>
          <w:sz w:val="24"/>
          <w:szCs w:val="24"/>
        </w:rPr>
        <w:t xml:space="preserve"> une action commune :</w:t>
      </w:r>
    </w:p>
    <w:p w14:paraId="5377EF7F" w14:textId="21F430FC" w:rsidR="00F300C1" w:rsidRPr="003A7E07" w:rsidRDefault="00F300C1" w:rsidP="00377C8C">
      <w:pPr>
        <w:shd w:val="clear" w:color="auto" w:fill="FFFFFF"/>
        <w:spacing w:before="60" w:after="0" w:line="240" w:lineRule="auto"/>
        <w:jc w:val="both"/>
        <w:textAlignment w:val="baseline"/>
        <w:rPr>
          <w:rFonts w:ascii="Times New Roman" w:hAnsi="Times New Roman" w:cs="Times New Roman"/>
          <w:b/>
          <w:bCs/>
          <w:sz w:val="24"/>
          <w:szCs w:val="24"/>
        </w:rPr>
      </w:pPr>
      <w:r w:rsidRPr="003A7E07">
        <w:rPr>
          <w:rFonts w:ascii="Times New Roman" w:hAnsi="Times New Roman" w:cs="Times New Roman"/>
          <w:b/>
          <w:bCs/>
          <w:i/>
          <w:iCs/>
        </w:rPr>
        <w:t>Voici notre mail du 9 février 2022 à 15H34 :</w:t>
      </w:r>
    </w:p>
    <w:p w14:paraId="3B2BAA56" w14:textId="0AD8FB71" w:rsidR="00F300C1" w:rsidRPr="00B07433" w:rsidRDefault="008F4B0C" w:rsidP="00377C8C">
      <w:pPr>
        <w:shd w:val="clear" w:color="auto" w:fill="FFFFFF"/>
        <w:spacing w:after="0" w:line="240" w:lineRule="auto"/>
        <w:jc w:val="both"/>
        <w:textAlignment w:val="baseline"/>
        <w:rPr>
          <w:rFonts w:ascii="Times New Roman" w:hAnsi="Times New Roman" w:cs="Times New Roman"/>
          <w:i/>
          <w:iCs/>
          <w:sz w:val="21"/>
          <w:szCs w:val="21"/>
        </w:rPr>
      </w:pPr>
      <w:r w:rsidRPr="00B07433">
        <w:rPr>
          <w:rFonts w:ascii="Times New Roman" w:hAnsi="Times New Roman" w:cs="Times New Roman"/>
          <w:i/>
          <w:iCs/>
          <w:sz w:val="21"/>
          <w:szCs w:val="21"/>
        </w:rPr>
        <w:t>"</w:t>
      </w:r>
      <w:r w:rsidR="00F300C1" w:rsidRPr="00B07433">
        <w:rPr>
          <w:rFonts w:ascii="Times New Roman" w:hAnsi="Times New Roman" w:cs="Times New Roman"/>
          <w:i/>
          <w:iCs/>
          <w:sz w:val="21"/>
          <w:szCs w:val="21"/>
        </w:rPr>
        <w:t>Chers Collègues,</w:t>
      </w:r>
    </w:p>
    <w:p w14:paraId="15327EDC" w14:textId="41FB9374" w:rsidR="00F300C1" w:rsidRPr="00B07433" w:rsidRDefault="00F300C1" w:rsidP="00377C8C">
      <w:pPr>
        <w:shd w:val="clear" w:color="auto" w:fill="FFFFFF"/>
        <w:spacing w:after="0" w:line="240" w:lineRule="auto"/>
        <w:jc w:val="both"/>
        <w:textAlignment w:val="baseline"/>
        <w:rPr>
          <w:rFonts w:ascii="Times New Roman" w:hAnsi="Times New Roman" w:cs="Times New Roman"/>
          <w:i/>
          <w:iCs/>
          <w:sz w:val="21"/>
          <w:szCs w:val="21"/>
        </w:rPr>
      </w:pPr>
      <w:r w:rsidRPr="00B07433">
        <w:rPr>
          <w:rFonts w:ascii="Times New Roman" w:hAnsi="Times New Roman" w:cs="Times New Roman"/>
          <w:i/>
          <w:iCs/>
          <w:sz w:val="21"/>
          <w:szCs w:val="21"/>
        </w:rPr>
        <w:t>Face à la situation particulière de l’augmentation générale des prix en France, de la faiblesse des salaires et des difficultés financières rencontrées par de plus en plus de salariés de Stellantis, la CGT du site de Sochaux propose une rencontre de toutes les Organisations Syndicales représentatives pour décider ensemble d’un mot d’ordre d’action unitaire pour l’augmentation générale du salaire de base. Il est nécessaire de peser tous ensemble dans les discussions salariales faces à Stellantis qui auront lieu le 22 février prochain. D’autre part dans nos discussions avec les salariés, nombreux souhaitent l’unité syndicale.</w:t>
      </w:r>
    </w:p>
    <w:p w14:paraId="4D397AB0" w14:textId="6CC07B08" w:rsidR="00F300C1" w:rsidRPr="00B07433" w:rsidRDefault="00B07433" w:rsidP="00377C8C">
      <w:pPr>
        <w:shd w:val="clear" w:color="auto" w:fill="FFFFFF"/>
        <w:spacing w:after="80" w:line="240" w:lineRule="auto"/>
        <w:jc w:val="both"/>
        <w:textAlignment w:val="baseline"/>
        <w:rPr>
          <w:rFonts w:ascii="Times New Roman" w:hAnsi="Times New Roman" w:cs="Times New Roman"/>
          <w:i/>
          <w:iCs/>
          <w:spacing w:val="-8"/>
          <w:sz w:val="21"/>
          <w:szCs w:val="21"/>
        </w:rPr>
      </w:pPr>
      <w:r w:rsidRPr="00B07433">
        <w:rPr>
          <w:rFonts w:ascii="Times New Roman" w:hAnsi="Times New Roman" w:cs="Times New Roman"/>
          <w:i/>
          <w:iCs/>
          <w:noProof/>
          <w:spacing w:val="-8"/>
          <w:sz w:val="21"/>
          <w:szCs w:val="21"/>
        </w:rPr>
        <w:drawing>
          <wp:anchor distT="0" distB="0" distL="114300" distR="114300" simplePos="0" relativeHeight="251715584" behindDoc="1" locked="0" layoutInCell="1" allowOverlap="1" wp14:anchorId="3D1AF68A" wp14:editId="2B94FF58">
            <wp:simplePos x="0" y="0"/>
            <wp:positionH relativeFrom="column">
              <wp:posOffset>238125</wp:posOffset>
            </wp:positionH>
            <wp:positionV relativeFrom="paragraph">
              <wp:posOffset>486350</wp:posOffset>
            </wp:positionV>
            <wp:extent cx="2663190" cy="1025525"/>
            <wp:effectExtent l="0" t="0" r="3810" b="3175"/>
            <wp:wrapThrough wrapText="bothSides">
              <wp:wrapPolygon edited="0">
                <wp:start x="0" y="0"/>
                <wp:lineTo x="0" y="21266"/>
                <wp:lineTo x="21476" y="21266"/>
                <wp:lineTo x="21476"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a:extLst>
                        <a:ext uri="{28A0092B-C50C-407E-A947-70E740481C1C}">
                          <a14:useLocalDpi xmlns:a14="http://schemas.microsoft.com/office/drawing/2010/main" val="0"/>
                        </a:ext>
                      </a:extLst>
                    </a:blip>
                    <a:stretch>
                      <a:fillRect/>
                    </a:stretch>
                  </pic:blipFill>
                  <pic:spPr>
                    <a:xfrm>
                      <a:off x="0" y="0"/>
                      <a:ext cx="2663190" cy="1025525"/>
                    </a:xfrm>
                    <a:prstGeom prst="rect">
                      <a:avLst/>
                    </a:prstGeom>
                  </pic:spPr>
                </pic:pic>
              </a:graphicData>
            </a:graphic>
            <wp14:sizeRelH relativeFrom="margin">
              <wp14:pctWidth>0</wp14:pctWidth>
            </wp14:sizeRelH>
            <wp14:sizeRelV relativeFrom="margin">
              <wp14:pctHeight>0</wp14:pctHeight>
            </wp14:sizeRelV>
          </wp:anchor>
        </w:drawing>
      </w:r>
      <w:r w:rsidR="00F300C1" w:rsidRPr="00B07433">
        <w:rPr>
          <w:rFonts w:ascii="Times New Roman" w:hAnsi="Times New Roman" w:cs="Times New Roman"/>
          <w:i/>
          <w:iCs/>
          <w:spacing w:val="-8"/>
          <w:sz w:val="21"/>
          <w:szCs w:val="21"/>
        </w:rPr>
        <w:t>C’est pourquoi nous vous convions à une réunion le lundi 14 février 2022 à l’union locale d’Audincourt à 11H pour définir ensemble des modalités d’action à mettre en œuvre…</w:t>
      </w:r>
      <w:r w:rsidR="008F4B0C" w:rsidRPr="00B07433">
        <w:rPr>
          <w:rFonts w:ascii="Times New Roman" w:hAnsi="Times New Roman" w:cs="Times New Roman"/>
          <w:i/>
          <w:iCs/>
          <w:spacing w:val="-8"/>
          <w:sz w:val="21"/>
          <w:szCs w:val="21"/>
        </w:rPr>
        <w:t>"</w:t>
      </w:r>
    </w:p>
    <w:p w14:paraId="2A1FE0B8" w14:textId="441BA89C" w:rsidR="005E1B9D" w:rsidRPr="00B07433" w:rsidRDefault="003442DA" w:rsidP="00377C8C">
      <w:pPr>
        <w:shd w:val="clear" w:color="auto" w:fill="FFFFFF"/>
        <w:spacing w:after="80" w:line="240" w:lineRule="auto"/>
        <w:jc w:val="both"/>
        <w:textAlignment w:val="baseline"/>
        <w:rPr>
          <w:rFonts w:ascii="Times New Roman" w:hAnsi="Times New Roman" w:cs="Times New Roman"/>
          <w:b/>
          <w:bCs/>
          <w:spacing w:val="-8"/>
          <w:sz w:val="24"/>
          <w:szCs w:val="24"/>
        </w:rPr>
      </w:pPr>
      <w:r w:rsidRPr="00B07433">
        <w:rPr>
          <w:rFonts w:ascii="Times New Roman" w:hAnsi="Times New Roman" w:cs="Times New Roman"/>
          <w:b/>
          <w:bCs/>
          <w:spacing w:val="-8"/>
          <w:sz w:val="24"/>
          <w:szCs w:val="24"/>
        </w:rPr>
        <w:t>Seule la CFDT a eu la correction de nous répondre. Les salariés sauront apprécier</w:t>
      </w:r>
      <w:r w:rsidR="005E1B9D" w:rsidRPr="00B07433">
        <w:rPr>
          <w:rFonts w:ascii="Times New Roman" w:hAnsi="Times New Roman" w:cs="Times New Roman"/>
          <w:b/>
          <w:bCs/>
          <w:spacing w:val="-8"/>
          <w:sz w:val="24"/>
          <w:szCs w:val="24"/>
        </w:rPr>
        <w:t>…</w:t>
      </w:r>
      <w:r w:rsidRPr="00B07433">
        <w:rPr>
          <w:rFonts w:ascii="Times New Roman" w:hAnsi="Times New Roman" w:cs="Times New Roman"/>
          <w:b/>
          <w:bCs/>
          <w:spacing w:val="-8"/>
          <w:sz w:val="24"/>
          <w:szCs w:val="24"/>
        </w:rPr>
        <w:t xml:space="preserve"> </w:t>
      </w:r>
      <w:r w:rsidR="005E1B9D" w:rsidRPr="00B07433">
        <w:rPr>
          <w:rFonts w:ascii="Times New Roman" w:hAnsi="Times New Roman" w:cs="Times New Roman"/>
          <w:b/>
          <w:bCs/>
          <w:spacing w:val="-8"/>
          <w:sz w:val="24"/>
          <w:szCs w:val="24"/>
        </w:rPr>
        <w:t>S</w:t>
      </w:r>
      <w:r w:rsidRPr="00B07433">
        <w:rPr>
          <w:rFonts w:ascii="Times New Roman" w:hAnsi="Times New Roman" w:cs="Times New Roman"/>
          <w:b/>
          <w:bCs/>
          <w:spacing w:val="-8"/>
          <w:sz w:val="24"/>
          <w:szCs w:val="24"/>
        </w:rPr>
        <w:t xml:space="preserve">uite à la décision de leur bureau, la CFDT </w:t>
      </w:r>
      <w:r w:rsidR="005E1B9D" w:rsidRPr="00B07433">
        <w:rPr>
          <w:rFonts w:ascii="Times New Roman" w:hAnsi="Times New Roman" w:cs="Times New Roman"/>
          <w:b/>
          <w:bCs/>
          <w:spacing w:val="-8"/>
          <w:sz w:val="24"/>
          <w:szCs w:val="24"/>
        </w:rPr>
        <w:t xml:space="preserve">ne participera </w:t>
      </w:r>
      <w:r w:rsidR="00B07433" w:rsidRPr="00B07433">
        <w:rPr>
          <w:rFonts w:ascii="Times New Roman" w:hAnsi="Times New Roman" w:cs="Times New Roman"/>
          <w:b/>
          <w:bCs/>
          <w:spacing w:val="-8"/>
          <w:sz w:val="24"/>
          <w:szCs w:val="24"/>
        </w:rPr>
        <w:t xml:space="preserve">finalement </w:t>
      </w:r>
      <w:r w:rsidR="005E1B9D" w:rsidRPr="00B07433">
        <w:rPr>
          <w:rFonts w:ascii="Times New Roman" w:hAnsi="Times New Roman" w:cs="Times New Roman"/>
          <w:b/>
          <w:bCs/>
          <w:spacing w:val="-8"/>
          <w:sz w:val="24"/>
          <w:szCs w:val="24"/>
        </w:rPr>
        <w:t>pas à une action commune.</w:t>
      </w:r>
    </w:p>
    <w:p w14:paraId="312497B1" w14:textId="77777777" w:rsidR="00F300C1" w:rsidRPr="004747CD" w:rsidRDefault="00F300C1" w:rsidP="00377C8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120" w:after="0" w:line="240" w:lineRule="auto"/>
        <w:ind w:right="70"/>
        <w:jc w:val="center"/>
        <w:textAlignment w:val="baseline"/>
        <w:rPr>
          <w:rFonts w:ascii="Comic Sans MS" w:hAnsi="Comic Sans MS" w:cs="Times New Roman"/>
          <w:b/>
          <w:bCs/>
          <w:color w:val="FF0000"/>
          <w:spacing w:val="-20"/>
          <w:sz w:val="32"/>
          <w:szCs w:val="32"/>
        </w:rPr>
      </w:pPr>
      <w:r w:rsidRPr="004747CD">
        <w:rPr>
          <w:rFonts w:ascii="Comic Sans MS" w:hAnsi="Comic Sans MS" w:cs="Times New Roman"/>
          <w:b/>
          <w:bCs/>
          <w:color w:val="FF0000"/>
          <w:spacing w:val="-20"/>
          <w:sz w:val="32"/>
          <w:szCs w:val="32"/>
        </w:rPr>
        <w:t>Intéressement/ participation</w:t>
      </w:r>
    </w:p>
    <w:p w14:paraId="6F491F6F" w14:textId="576A17BB" w:rsidR="00C126F2" w:rsidRPr="00C126F2" w:rsidRDefault="00C126F2" w:rsidP="00377C8C">
      <w:pPr>
        <w:spacing w:after="0" w:line="240" w:lineRule="auto"/>
        <w:jc w:val="center"/>
        <w:rPr>
          <w:rFonts w:ascii="Times New Roman" w:hAnsi="Times New Roman" w:cs="Times New Roman"/>
          <w:b/>
          <w:bCs/>
          <w:color w:val="FF0000"/>
          <w:sz w:val="25"/>
          <w:szCs w:val="25"/>
        </w:rPr>
      </w:pPr>
      <w:r w:rsidRPr="00C126F2">
        <w:rPr>
          <w:rFonts w:ascii="Times New Roman" w:hAnsi="Times New Roman" w:cs="Times New Roman"/>
          <w:b/>
          <w:bCs/>
          <w:color w:val="FF0000"/>
          <w:sz w:val="25"/>
          <w:szCs w:val="25"/>
        </w:rPr>
        <w:t>Les 400 euros nets que nous revendiquons compte pour la retraite, les caisses de la sécurité sociale et reste sur la paie tous les mois. Ce n’est pas le cas de la prime d’intéressement qui, en plus, est imposable pour les salariés. Cependant cette prime est une partie de notre dû car les bénéfices prévisibles de 2021 et la rentabilité de l’entreprise sont issus de notre travail.</w:t>
      </w:r>
    </w:p>
    <w:p w14:paraId="49D94E1A" w14:textId="0FEE0333" w:rsidR="00C126F2" w:rsidRPr="0042009D" w:rsidRDefault="00C126F2" w:rsidP="00377C8C">
      <w:pPr>
        <w:spacing w:before="120" w:after="0" w:line="240" w:lineRule="auto"/>
        <w:jc w:val="both"/>
        <w:rPr>
          <w:rFonts w:ascii="Times New Roman" w:hAnsi="Times New Roman" w:cs="Times New Roman"/>
          <w:b/>
          <w:bCs/>
          <w:sz w:val="25"/>
          <w:szCs w:val="25"/>
        </w:rPr>
      </w:pPr>
      <w:r w:rsidRPr="0042009D">
        <w:rPr>
          <w:rFonts w:ascii="Times New Roman" w:hAnsi="Times New Roman" w:cs="Times New Roman"/>
          <w:sz w:val="25"/>
          <w:szCs w:val="25"/>
        </w:rPr>
        <w:t xml:space="preserve">De 2015 à 2019, notre travail a rapporté </w:t>
      </w:r>
      <w:r w:rsidRPr="0042009D">
        <w:rPr>
          <w:rFonts w:ascii="Times New Roman" w:hAnsi="Times New Roman" w:cs="Times New Roman"/>
          <w:b/>
          <w:bCs/>
          <w:sz w:val="25"/>
          <w:szCs w:val="25"/>
          <w:u w:val="single"/>
        </w:rPr>
        <w:t>10 milliards d’euros de bénéfices au groupe PSA et en 2020 plus de 2 milliards d’euros</w:t>
      </w:r>
      <w:r w:rsidRPr="0042009D">
        <w:rPr>
          <w:rFonts w:ascii="Times New Roman" w:hAnsi="Times New Roman" w:cs="Times New Roman"/>
          <w:sz w:val="25"/>
          <w:szCs w:val="25"/>
        </w:rPr>
        <w:t xml:space="preserve"> aux groupes PSA et FCA</w:t>
      </w:r>
      <w:r w:rsidRPr="0042009D">
        <w:rPr>
          <w:rFonts w:ascii="Times New Roman" w:hAnsi="Times New Roman" w:cs="Times New Roman"/>
          <w:b/>
          <w:bCs/>
          <w:sz w:val="25"/>
          <w:szCs w:val="25"/>
        </w:rPr>
        <w:t>.</w:t>
      </w:r>
    </w:p>
    <w:p w14:paraId="30961510" w14:textId="38FD78BF" w:rsidR="00C126F2" w:rsidRPr="0042009D" w:rsidRDefault="00C126F2" w:rsidP="00377C8C">
      <w:pPr>
        <w:spacing w:after="0" w:line="240" w:lineRule="auto"/>
        <w:jc w:val="both"/>
        <w:rPr>
          <w:rFonts w:ascii="Times New Roman" w:hAnsi="Times New Roman" w:cs="Times New Roman"/>
          <w:sz w:val="25"/>
          <w:szCs w:val="25"/>
        </w:rPr>
      </w:pPr>
      <w:r w:rsidRPr="0042009D">
        <w:rPr>
          <w:rFonts w:ascii="Times New Roman" w:hAnsi="Times New Roman" w:cs="Times New Roman"/>
          <w:sz w:val="25"/>
          <w:szCs w:val="25"/>
        </w:rPr>
        <w:t xml:space="preserve">En 2020, dans les usines du groupe PSA du pays, le montant de la prime d’intéressement était, </w:t>
      </w:r>
      <w:r w:rsidRPr="0042009D">
        <w:rPr>
          <w:rFonts w:ascii="Times New Roman" w:hAnsi="Times New Roman" w:cs="Times New Roman"/>
          <w:b/>
          <w:bCs/>
          <w:sz w:val="25"/>
          <w:szCs w:val="25"/>
          <w:u w:val="single"/>
        </w:rPr>
        <w:t>en moyenne, de 2 700 euros nets</w:t>
      </w:r>
      <w:r w:rsidRPr="0042009D">
        <w:rPr>
          <w:rFonts w:ascii="Times New Roman" w:hAnsi="Times New Roman" w:cs="Times New Roman"/>
          <w:sz w:val="25"/>
          <w:szCs w:val="25"/>
        </w:rPr>
        <w:t xml:space="preserve"> (supplément d’intéressement inclus)</w:t>
      </w:r>
      <w:r>
        <w:rPr>
          <w:rFonts w:ascii="Times New Roman" w:hAnsi="Times New Roman" w:cs="Times New Roman"/>
          <w:sz w:val="25"/>
          <w:szCs w:val="25"/>
        </w:rPr>
        <w:t>.</w:t>
      </w:r>
    </w:p>
    <w:p w14:paraId="08B2C395" w14:textId="77777777" w:rsidR="00C126F2" w:rsidRPr="0042009D" w:rsidRDefault="00C126F2" w:rsidP="00924F43">
      <w:pPr>
        <w:spacing w:after="240" w:line="240" w:lineRule="auto"/>
        <w:jc w:val="both"/>
        <w:rPr>
          <w:rFonts w:ascii="Times New Roman" w:hAnsi="Times New Roman" w:cs="Times New Roman"/>
          <w:b/>
          <w:bCs/>
          <w:sz w:val="25"/>
          <w:szCs w:val="25"/>
          <w:u w:val="single"/>
        </w:rPr>
      </w:pPr>
      <w:r w:rsidRPr="0042009D">
        <w:rPr>
          <w:rFonts w:ascii="Times New Roman" w:hAnsi="Times New Roman" w:cs="Times New Roman"/>
          <w:bCs/>
          <w:sz w:val="25"/>
          <w:szCs w:val="25"/>
        </w:rPr>
        <w:t xml:space="preserve">La rentabilité des groupes PSA et FCA (Stellantis) pour 2021, n’a jamais été atteinte auparavant et sera à deux chiffres. </w:t>
      </w:r>
      <w:r w:rsidRPr="0042009D">
        <w:rPr>
          <w:rFonts w:ascii="Times New Roman" w:hAnsi="Times New Roman" w:cs="Times New Roman"/>
          <w:sz w:val="25"/>
          <w:szCs w:val="25"/>
        </w:rPr>
        <w:t xml:space="preserve">Au premier semestre 2021, notre travail a rapporté </w:t>
      </w:r>
      <w:r w:rsidRPr="0042009D">
        <w:rPr>
          <w:rFonts w:ascii="Times New Roman" w:hAnsi="Times New Roman" w:cs="Times New Roman"/>
          <w:b/>
          <w:bCs/>
          <w:sz w:val="25"/>
          <w:szCs w:val="25"/>
          <w:u w:val="single"/>
        </w:rPr>
        <w:t>6 milliards d’euros de bénéfices</w:t>
      </w:r>
      <w:r w:rsidRPr="0042009D">
        <w:rPr>
          <w:rFonts w:ascii="Times New Roman" w:hAnsi="Times New Roman" w:cs="Times New Roman"/>
          <w:sz w:val="25"/>
          <w:szCs w:val="25"/>
        </w:rPr>
        <w:t xml:space="preserve"> aux groupes PSA et FCA, </w:t>
      </w:r>
      <w:r w:rsidRPr="0042009D">
        <w:rPr>
          <w:rFonts w:ascii="Times New Roman" w:hAnsi="Times New Roman" w:cs="Times New Roman"/>
          <w:b/>
          <w:bCs/>
          <w:sz w:val="25"/>
          <w:szCs w:val="25"/>
          <w:u w:val="single"/>
        </w:rPr>
        <w:t>soit 3 fois plus que pour toute l’année 2020.</w:t>
      </w:r>
    </w:p>
    <w:p w14:paraId="4D05EA85" w14:textId="77777777" w:rsidR="00C126F2" w:rsidRPr="00924F43" w:rsidRDefault="00C126F2" w:rsidP="00377C8C">
      <w:pPr>
        <w:pBdr>
          <w:top w:val="single" w:sz="8" w:space="1" w:color="auto"/>
          <w:left w:val="single" w:sz="8" w:space="4" w:color="auto"/>
          <w:bottom w:val="single" w:sz="8" w:space="1" w:color="auto"/>
          <w:right w:val="single" w:sz="8" w:space="4" w:color="auto"/>
        </w:pBdr>
        <w:spacing w:after="0" w:line="240" w:lineRule="auto"/>
        <w:jc w:val="center"/>
        <w:rPr>
          <w:rFonts w:ascii="Times New Roman" w:hAnsi="Times New Roman" w:cs="Times New Roman"/>
          <w:sz w:val="28"/>
          <w:szCs w:val="28"/>
        </w:rPr>
      </w:pPr>
      <w:r w:rsidRPr="00924F43">
        <w:rPr>
          <w:rFonts w:ascii="Times New Roman" w:hAnsi="Times New Roman" w:cs="Times New Roman"/>
          <w:b/>
          <w:bCs/>
          <w:sz w:val="28"/>
          <w:szCs w:val="28"/>
        </w:rPr>
        <w:t>Pour l’année 2021, Stellantis devrait annoncer des bénéfices 5 fois plus importants qu’en 2020, il serait normal que le montant de</w:t>
      </w:r>
      <w:r w:rsidRPr="00924F43">
        <w:rPr>
          <w:rFonts w:ascii="Times New Roman" w:hAnsi="Times New Roman" w:cs="Times New Roman"/>
          <w:sz w:val="28"/>
          <w:szCs w:val="28"/>
        </w:rPr>
        <w:t xml:space="preserve"> </w:t>
      </w:r>
      <w:r w:rsidRPr="00924F43">
        <w:rPr>
          <w:rFonts w:ascii="Times New Roman" w:hAnsi="Times New Roman" w:cs="Times New Roman"/>
          <w:b/>
          <w:bCs/>
          <w:sz w:val="28"/>
          <w:szCs w:val="28"/>
        </w:rPr>
        <w:t>l’intéressement 2021 soit lui aussi multiplié par 5 et soit de :</w:t>
      </w:r>
      <w:r w:rsidRPr="00924F43">
        <w:rPr>
          <w:rFonts w:ascii="Times New Roman" w:hAnsi="Times New Roman" w:cs="Times New Roman"/>
          <w:sz w:val="28"/>
          <w:szCs w:val="28"/>
        </w:rPr>
        <w:t xml:space="preserve"> </w:t>
      </w:r>
    </w:p>
    <w:p w14:paraId="7702BD6A" w14:textId="77777777" w:rsidR="00C126F2" w:rsidRPr="0042009D" w:rsidRDefault="00C126F2" w:rsidP="00377C8C">
      <w:pPr>
        <w:pBdr>
          <w:top w:val="single" w:sz="8" w:space="1" w:color="auto"/>
          <w:left w:val="single" w:sz="8" w:space="4" w:color="auto"/>
          <w:bottom w:val="single" w:sz="8" w:space="1" w:color="auto"/>
          <w:right w:val="single" w:sz="8" w:space="4" w:color="auto"/>
        </w:pBdr>
        <w:spacing w:after="0" w:line="240" w:lineRule="auto"/>
        <w:jc w:val="center"/>
        <w:rPr>
          <w:rFonts w:ascii="Times New Roman" w:hAnsi="Times New Roman" w:cs="Times New Roman"/>
          <w:bCs/>
          <w:sz w:val="8"/>
          <w:szCs w:val="8"/>
          <w:u w:val="single"/>
        </w:rPr>
      </w:pPr>
      <w:r w:rsidRPr="00956952">
        <w:rPr>
          <w:rFonts w:ascii="Times New Roman" w:hAnsi="Times New Roman" w:cs="Times New Roman"/>
          <w:b/>
          <w:color w:val="FF0000"/>
          <w:sz w:val="28"/>
          <w:szCs w:val="28"/>
        </w:rPr>
        <w:t>2 700 euros nets X 5 = 13 500 euros nets</w:t>
      </w:r>
    </w:p>
    <w:p w14:paraId="4BFC44E9" w14:textId="77777777" w:rsidR="00876A2E" w:rsidRDefault="00876A2E" w:rsidP="00377C8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80" w:after="0" w:line="240" w:lineRule="auto"/>
        <w:jc w:val="both"/>
        <w:textAlignment w:val="baseline"/>
        <w:rPr>
          <w:rFonts w:ascii="Comic Sans MS" w:hAnsi="Comic Sans MS" w:cs="Times New Roman"/>
          <w:b/>
          <w:bCs/>
          <w:color w:val="FF0000"/>
          <w:spacing w:val="-20"/>
          <w:sz w:val="32"/>
          <w:szCs w:val="32"/>
        </w:rPr>
        <w:sectPr w:rsidR="00876A2E" w:rsidSect="00876A2E">
          <w:type w:val="continuous"/>
          <w:pgSz w:w="11906" w:h="16838"/>
          <w:pgMar w:top="426" w:right="424" w:bottom="142" w:left="709" w:header="708" w:footer="324" w:gutter="0"/>
          <w:cols w:num="2" w:space="708"/>
          <w:docGrid w:linePitch="360"/>
        </w:sectPr>
      </w:pPr>
    </w:p>
    <w:p w14:paraId="66DB4848" w14:textId="0DC62BE7" w:rsidR="00F300C1" w:rsidRPr="006E12D7" w:rsidRDefault="00F300C1" w:rsidP="00377C8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80" w:after="0" w:line="240" w:lineRule="auto"/>
        <w:ind w:right="141"/>
        <w:jc w:val="center"/>
        <w:textAlignment w:val="baseline"/>
        <w:rPr>
          <w:rFonts w:ascii="Comic Sans MS" w:hAnsi="Comic Sans MS" w:cs="Times New Roman"/>
          <w:b/>
          <w:bCs/>
          <w:color w:val="FF0000"/>
          <w:spacing w:val="-20"/>
          <w:sz w:val="32"/>
          <w:szCs w:val="32"/>
        </w:rPr>
      </w:pPr>
      <w:r w:rsidRPr="006E12D7">
        <w:rPr>
          <w:rFonts w:ascii="Comic Sans MS" w:hAnsi="Comic Sans MS" w:cs="Times New Roman"/>
          <w:b/>
          <w:bCs/>
          <w:color w:val="FF0000"/>
          <w:spacing w:val="-20"/>
          <w:sz w:val="32"/>
          <w:szCs w:val="32"/>
        </w:rPr>
        <w:t xml:space="preserve">Les travailleurs d’ISS </w:t>
      </w:r>
      <w:r w:rsidR="00E065A1">
        <w:rPr>
          <w:rFonts w:ascii="Comic Sans MS" w:hAnsi="Comic Sans MS" w:cs="Times New Roman"/>
          <w:b/>
          <w:bCs/>
          <w:color w:val="FF0000"/>
          <w:spacing w:val="-20"/>
          <w:sz w:val="32"/>
          <w:szCs w:val="32"/>
        </w:rPr>
        <w:t xml:space="preserve">ont eu mille fois raison de </w:t>
      </w:r>
      <w:r w:rsidR="00232E1D" w:rsidRPr="006E12D7">
        <w:rPr>
          <w:rFonts w:ascii="Comic Sans MS" w:hAnsi="Comic Sans MS" w:cs="Times New Roman"/>
          <w:b/>
          <w:bCs/>
          <w:color w:val="FF0000"/>
          <w:spacing w:val="-20"/>
          <w:sz w:val="32"/>
          <w:szCs w:val="32"/>
        </w:rPr>
        <w:t>releve</w:t>
      </w:r>
      <w:r w:rsidR="00232E1D">
        <w:rPr>
          <w:rFonts w:ascii="Comic Sans MS" w:hAnsi="Comic Sans MS" w:cs="Times New Roman"/>
          <w:b/>
          <w:bCs/>
          <w:color w:val="FF0000"/>
          <w:spacing w:val="-20"/>
          <w:sz w:val="32"/>
          <w:szCs w:val="32"/>
        </w:rPr>
        <w:t>r</w:t>
      </w:r>
      <w:r w:rsidRPr="006E12D7">
        <w:rPr>
          <w:rFonts w:ascii="Comic Sans MS" w:hAnsi="Comic Sans MS" w:cs="Times New Roman"/>
          <w:b/>
          <w:bCs/>
          <w:color w:val="FF0000"/>
          <w:spacing w:val="-20"/>
          <w:sz w:val="32"/>
          <w:szCs w:val="32"/>
        </w:rPr>
        <w:t xml:space="preserve"> la tête</w:t>
      </w:r>
    </w:p>
    <w:p w14:paraId="58876B2C" w14:textId="6D8D2407" w:rsidR="00F300C1" w:rsidRPr="00773724" w:rsidRDefault="00F300C1" w:rsidP="00377C8C">
      <w:pPr>
        <w:shd w:val="clear" w:color="auto" w:fill="FFFFFF"/>
        <w:spacing w:before="80" w:afterLines="60" w:after="144" w:line="240" w:lineRule="auto"/>
        <w:ind w:right="141"/>
        <w:jc w:val="both"/>
        <w:textAlignment w:val="baseline"/>
        <w:rPr>
          <w:rFonts w:ascii="Times New Roman" w:hAnsi="Times New Roman" w:cs="Times New Roman"/>
          <w:spacing w:val="-4"/>
          <w:sz w:val="24"/>
          <w:szCs w:val="24"/>
        </w:rPr>
      </w:pPr>
      <w:r w:rsidRPr="00773724">
        <w:rPr>
          <w:rFonts w:ascii="Times New Roman" w:hAnsi="Times New Roman" w:cs="Times New Roman"/>
          <w:spacing w:val="-6"/>
          <w:sz w:val="24"/>
          <w:szCs w:val="24"/>
        </w:rPr>
        <w:t xml:space="preserve">Il y a deux semaines, </w:t>
      </w:r>
      <w:r w:rsidRPr="00773724">
        <w:rPr>
          <w:rFonts w:ascii="Times New Roman" w:hAnsi="Times New Roman" w:cs="Times New Roman"/>
          <w:b/>
          <w:bCs/>
          <w:color w:val="FF0000"/>
          <w:spacing w:val="-6"/>
          <w:sz w:val="24"/>
          <w:szCs w:val="24"/>
        </w:rPr>
        <w:t xml:space="preserve">14 ouvriers embauchés en CDI d’ISS au </w:t>
      </w:r>
      <w:proofErr w:type="spellStart"/>
      <w:r w:rsidR="00053ABA">
        <w:rPr>
          <w:rFonts w:ascii="Times New Roman" w:hAnsi="Times New Roman" w:cs="Times New Roman"/>
          <w:b/>
          <w:bCs/>
          <w:color w:val="FF0000"/>
          <w:spacing w:val="-6"/>
          <w:sz w:val="24"/>
          <w:szCs w:val="24"/>
        </w:rPr>
        <w:t>K</w:t>
      </w:r>
      <w:r w:rsidRPr="00773724">
        <w:rPr>
          <w:rFonts w:ascii="Times New Roman" w:hAnsi="Times New Roman" w:cs="Times New Roman"/>
          <w:b/>
          <w:bCs/>
          <w:color w:val="FF0000"/>
          <w:spacing w:val="-6"/>
          <w:sz w:val="24"/>
          <w:szCs w:val="24"/>
        </w:rPr>
        <w:t>i</w:t>
      </w:r>
      <w:r w:rsidR="00053ABA">
        <w:rPr>
          <w:rFonts w:ascii="Times New Roman" w:hAnsi="Times New Roman" w:cs="Times New Roman"/>
          <w:b/>
          <w:bCs/>
          <w:color w:val="FF0000"/>
          <w:spacing w:val="-6"/>
          <w:sz w:val="24"/>
          <w:szCs w:val="24"/>
        </w:rPr>
        <w:t>t</w:t>
      </w:r>
      <w:r w:rsidRPr="00773724">
        <w:rPr>
          <w:rFonts w:ascii="Times New Roman" w:hAnsi="Times New Roman" w:cs="Times New Roman"/>
          <w:b/>
          <w:bCs/>
          <w:color w:val="FF0000"/>
          <w:spacing w:val="-6"/>
          <w:sz w:val="24"/>
          <w:szCs w:val="24"/>
        </w:rPr>
        <w:t>ting</w:t>
      </w:r>
      <w:proofErr w:type="spellEnd"/>
      <w:r w:rsidRPr="00773724">
        <w:rPr>
          <w:rFonts w:ascii="Times New Roman" w:hAnsi="Times New Roman" w:cs="Times New Roman"/>
          <w:b/>
          <w:bCs/>
          <w:color w:val="FF0000"/>
          <w:spacing w:val="-6"/>
          <w:sz w:val="24"/>
          <w:szCs w:val="24"/>
        </w:rPr>
        <w:t xml:space="preserve"> du montage dans l’équipe de nuit ont fait grève de minuit à 04H20</w:t>
      </w:r>
      <w:r w:rsidRPr="00773724">
        <w:rPr>
          <w:rFonts w:ascii="Times New Roman" w:hAnsi="Times New Roman" w:cs="Times New Roman"/>
          <w:spacing w:val="-6"/>
          <w:sz w:val="24"/>
          <w:szCs w:val="24"/>
        </w:rPr>
        <w:t>.</w:t>
      </w:r>
      <w:r w:rsidR="00B07433">
        <w:rPr>
          <w:rFonts w:ascii="Times New Roman" w:hAnsi="Times New Roman" w:cs="Times New Roman"/>
          <w:spacing w:val="-6"/>
          <w:sz w:val="24"/>
          <w:szCs w:val="24"/>
        </w:rPr>
        <w:t xml:space="preserve"> </w:t>
      </w:r>
      <w:r w:rsidRPr="00773724">
        <w:rPr>
          <w:rFonts w:ascii="Times New Roman" w:hAnsi="Times New Roman" w:cs="Times New Roman"/>
          <w:spacing w:val="-4"/>
          <w:sz w:val="24"/>
          <w:szCs w:val="24"/>
        </w:rPr>
        <w:t>Leurs revendications légitimes ont porté sur l’incertitude d</w:t>
      </w:r>
      <w:r w:rsidR="008C5026">
        <w:rPr>
          <w:rFonts w:ascii="Times New Roman" w:hAnsi="Times New Roman" w:cs="Times New Roman"/>
          <w:spacing w:val="-4"/>
          <w:sz w:val="24"/>
          <w:szCs w:val="24"/>
        </w:rPr>
        <w:t>u maintien de</w:t>
      </w:r>
      <w:r w:rsidRPr="00773724">
        <w:rPr>
          <w:rFonts w:ascii="Times New Roman" w:hAnsi="Times New Roman" w:cs="Times New Roman"/>
          <w:spacing w:val="-4"/>
          <w:sz w:val="24"/>
          <w:szCs w:val="24"/>
        </w:rPr>
        <w:t xml:space="preserve"> leur emploi </w:t>
      </w:r>
      <w:r w:rsidR="008C5026">
        <w:rPr>
          <w:rFonts w:ascii="Times New Roman" w:hAnsi="Times New Roman" w:cs="Times New Roman"/>
          <w:spacing w:val="-4"/>
          <w:sz w:val="24"/>
          <w:szCs w:val="24"/>
        </w:rPr>
        <w:t>avec</w:t>
      </w:r>
      <w:r w:rsidRPr="00773724">
        <w:rPr>
          <w:rFonts w:ascii="Times New Roman" w:hAnsi="Times New Roman" w:cs="Times New Roman"/>
          <w:spacing w:val="-4"/>
          <w:sz w:val="24"/>
          <w:szCs w:val="24"/>
        </w:rPr>
        <w:t xml:space="preserve"> Sochaux 2022, </w:t>
      </w:r>
      <w:r w:rsidR="008C5026">
        <w:rPr>
          <w:rFonts w:ascii="Times New Roman" w:hAnsi="Times New Roman" w:cs="Times New Roman"/>
          <w:spacing w:val="-4"/>
          <w:sz w:val="24"/>
          <w:szCs w:val="24"/>
        </w:rPr>
        <w:t xml:space="preserve">l’augmentation </w:t>
      </w:r>
      <w:r w:rsidRPr="00773724">
        <w:rPr>
          <w:rFonts w:ascii="Times New Roman" w:hAnsi="Times New Roman" w:cs="Times New Roman"/>
          <w:spacing w:val="-4"/>
          <w:sz w:val="24"/>
          <w:szCs w:val="24"/>
        </w:rPr>
        <w:t xml:space="preserve">des salaires, </w:t>
      </w:r>
      <w:r w:rsidR="008C5026">
        <w:rPr>
          <w:rFonts w:ascii="Times New Roman" w:hAnsi="Times New Roman" w:cs="Times New Roman"/>
          <w:spacing w:val="-4"/>
          <w:sz w:val="24"/>
          <w:szCs w:val="24"/>
        </w:rPr>
        <w:t>aux</w:t>
      </w:r>
      <w:r w:rsidRPr="00773724">
        <w:rPr>
          <w:rFonts w:ascii="Times New Roman" w:hAnsi="Times New Roman" w:cs="Times New Roman"/>
          <w:spacing w:val="-4"/>
          <w:sz w:val="24"/>
          <w:szCs w:val="24"/>
        </w:rPr>
        <w:t xml:space="preserve"> problème</w:t>
      </w:r>
      <w:r w:rsidR="008C5026">
        <w:rPr>
          <w:rFonts w:ascii="Times New Roman" w:hAnsi="Times New Roman" w:cs="Times New Roman"/>
          <w:spacing w:val="-4"/>
          <w:sz w:val="24"/>
          <w:szCs w:val="24"/>
        </w:rPr>
        <w:t>s des</w:t>
      </w:r>
      <w:r w:rsidRPr="00773724">
        <w:rPr>
          <w:rFonts w:ascii="Times New Roman" w:hAnsi="Times New Roman" w:cs="Times New Roman"/>
          <w:spacing w:val="-4"/>
          <w:sz w:val="24"/>
          <w:szCs w:val="24"/>
        </w:rPr>
        <w:t xml:space="preserve"> effets de protections individuelles non fournies en quantité suffisante (bouchons d’oreilles, chaussures de sécurité etc…) et le paiement des heures de grève.</w:t>
      </w:r>
    </w:p>
    <w:p w14:paraId="5E27523F" w14:textId="51DC3C42" w:rsidR="00F300C1" w:rsidRPr="00773724" w:rsidRDefault="00F300C1" w:rsidP="00377C8C">
      <w:pPr>
        <w:shd w:val="clear" w:color="auto" w:fill="FFFFFF"/>
        <w:spacing w:before="80" w:after="60" w:line="240" w:lineRule="auto"/>
        <w:ind w:right="142"/>
        <w:jc w:val="both"/>
        <w:textAlignment w:val="baseline"/>
        <w:rPr>
          <w:rFonts w:ascii="Times New Roman" w:hAnsi="Times New Roman" w:cs="Times New Roman"/>
          <w:sz w:val="24"/>
          <w:szCs w:val="24"/>
        </w:rPr>
      </w:pPr>
      <w:r w:rsidRPr="00773724">
        <w:rPr>
          <w:rFonts w:ascii="Times New Roman" w:hAnsi="Times New Roman" w:cs="Times New Roman"/>
          <w:sz w:val="24"/>
          <w:szCs w:val="24"/>
        </w:rPr>
        <w:t>Jusqu’à maintenant la direction</w:t>
      </w:r>
      <w:r w:rsidR="008C5026">
        <w:rPr>
          <w:rFonts w:ascii="Times New Roman" w:hAnsi="Times New Roman" w:cs="Times New Roman"/>
          <w:sz w:val="24"/>
          <w:szCs w:val="24"/>
        </w:rPr>
        <w:t xml:space="preserve"> d’ISS</w:t>
      </w:r>
      <w:r w:rsidRPr="00773724">
        <w:rPr>
          <w:rFonts w:ascii="Times New Roman" w:hAnsi="Times New Roman" w:cs="Times New Roman"/>
          <w:sz w:val="24"/>
          <w:szCs w:val="24"/>
        </w:rPr>
        <w:t xml:space="preserve"> </w:t>
      </w:r>
      <w:r w:rsidR="008C5026">
        <w:rPr>
          <w:rFonts w:ascii="Times New Roman" w:hAnsi="Times New Roman" w:cs="Times New Roman"/>
          <w:sz w:val="24"/>
          <w:szCs w:val="24"/>
        </w:rPr>
        <w:t>s’en est tenue à l’hypothétique promesse de reclassements sur quelques postes</w:t>
      </w:r>
      <w:r w:rsidRPr="00773724">
        <w:rPr>
          <w:rFonts w:ascii="Times New Roman" w:hAnsi="Times New Roman" w:cs="Times New Roman"/>
          <w:sz w:val="24"/>
          <w:szCs w:val="24"/>
        </w:rPr>
        <w:t xml:space="preserve"> ici et à Mulhouse</w:t>
      </w:r>
      <w:r w:rsidR="008C5026">
        <w:rPr>
          <w:rFonts w:ascii="Times New Roman" w:hAnsi="Times New Roman" w:cs="Times New Roman"/>
          <w:sz w:val="24"/>
          <w:szCs w:val="24"/>
        </w:rPr>
        <w:t>.</w:t>
      </w:r>
      <w:r w:rsidRPr="00773724">
        <w:rPr>
          <w:rFonts w:ascii="Times New Roman" w:hAnsi="Times New Roman" w:cs="Times New Roman"/>
          <w:sz w:val="24"/>
          <w:szCs w:val="24"/>
        </w:rPr>
        <w:t xml:space="preserve"> </w:t>
      </w:r>
      <w:r w:rsidR="008C5026">
        <w:rPr>
          <w:rFonts w:ascii="Times New Roman" w:hAnsi="Times New Roman" w:cs="Times New Roman"/>
          <w:sz w:val="24"/>
          <w:szCs w:val="24"/>
        </w:rPr>
        <w:t xml:space="preserve">En revanche elle a concédé </w:t>
      </w:r>
      <w:r w:rsidRPr="00773724">
        <w:rPr>
          <w:rFonts w:ascii="Times New Roman" w:hAnsi="Times New Roman" w:cs="Times New Roman"/>
          <w:sz w:val="24"/>
          <w:szCs w:val="24"/>
        </w:rPr>
        <w:t xml:space="preserve">le paiement des heures de grève et satisfait une partie des autres </w:t>
      </w:r>
      <w:r w:rsidR="00000E67" w:rsidRPr="00773724">
        <w:rPr>
          <w:rFonts w:ascii="Times New Roman" w:hAnsi="Times New Roman" w:cs="Times New Roman"/>
          <w:sz w:val="24"/>
          <w:szCs w:val="24"/>
        </w:rPr>
        <w:t>besoins</w:t>
      </w:r>
      <w:r w:rsidRPr="00773724">
        <w:rPr>
          <w:rFonts w:ascii="Times New Roman" w:hAnsi="Times New Roman" w:cs="Times New Roman"/>
          <w:sz w:val="24"/>
          <w:szCs w:val="24"/>
        </w:rPr>
        <w:t xml:space="preserve"> </w:t>
      </w:r>
      <w:r w:rsidR="00550476">
        <w:rPr>
          <w:rFonts w:ascii="Times New Roman" w:hAnsi="Times New Roman" w:cs="Times New Roman"/>
          <w:sz w:val="24"/>
          <w:szCs w:val="24"/>
        </w:rPr>
        <w:t>notamment pour les</w:t>
      </w:r>
      <w:r w:rsidRPr="00773724">
        <w:rPr>
          <w:rFonts w:ascii="Times New Roman" w:hAnsi="Times New Roman" w:cs="Times New Roman"/>
          <w:sz w:val="24"/>
          <w:szCs w:val="24"/>
        </w:rPr>
        <w:t xml:space="preserve"> chaussures de sécurité</w:t>
      </w:r>
      <w:r w:rsidR="00550476">
        <w:rPr>
          <w:rFonts w:ascii="Times New Roman" w:hAnsi="Times New Roman" w:cs="Times New Roman"/>
          <w:sz w:val="24"/>
          <w:szCs w:val="24"/>
        </w:rPr>
        <w:t>.</w:t>
      </w:r>
    </w:p>
    <w:p w14:paraId="5AC6D7B4" w14:textId="5DDC4AAB" w:rsidR="00550476" w:rsidRPr="00C126F2" w:rsidRDefault="00F300C1" w:rsidP="00377C8C">
      <w:pPr>
        <w:spacing w:afterLines="60" w:after="144" w:line="240" w:lineRule="auto"/>
        <w:jc w:val="both"/>
        <w:rPr>
          <w:rFonts w:ascii="Times New Roman" w:hAnsi="Times New Roman" w:cs="Times New Roman"/>
          <w:b/>
          <w:bCs/>
          <w:color w:val="FF0000"/>
          <w:sz w:val="24"/>
          <w:szCs w:val="24"/>
        </w:rPr>
      </w:pPr>
      <w:r w:rsidRPr="00773724">
        <w:rPr>
          <w:rFonts w:ascii="Times New Roman" w:hAnsi="Times New Roman" w:cs="Times New Roman"/>
          <w:sz w:val="24"/>
          <w:szCs w:val="24"/>
        </w:rPr>
        <w:t>La CGT du Site de Sochaux a apport</w:t>
      </w:r>
      <w:r w:rsidR="00550476">
        <w:rPr>
          <w:rFonts w:ascii="Times New Roman" w:hAnsi="Times New Roman" w:cs="Times New Roman"/>
          <w:sz w:val="24"/>
          <w:szCs w:val="24"/>
        </w:rPr>
        <w:t>é</w:t>
      </w:r>
      <w:r w:rsidRPr="00773724">
        <w:rPr>
          <w:rFonts w:ascii="Times New Roman" w:hAnsi="Times New Roman" w:cs="Times New Roman"/>
          <w:sz w:val="24"/>
          <w:szCs w:val="24"/>
        </w:rPr>
        <w:t xml:space="preserve"> son soutien à ces </w:t>
      </w:r>
      <w:r w:rsidR="00000E67" w:rsidRPr="00773724">
        <w:rPr>
          <w:rFonts w:ascii="Times New Roman" w:hAnsi="Times New Roman" w:cs="Times New Roman"/>
          <w:sz w:val="24"/>
          <w:szCs w:val="24"/>
        </w:rPr>
        <w:t>salarié</w:t>
      </w:r>
      <w:r w:rsidR="00550476">
        <w:rPr>
          <w:rFonts w:ascii="Times New Roman" w:hAnsi="Times New Roman" w:cs="Times New Roman"/>
          <w:sz w:val="24"/>
          <w:szCs w:val="24"/>
        </w:rPr>
        <w:t>s</w:t>
      </w:r>
      <w:r w:rsidRPr="00773724">
        <w:rPr>
          <w:rFonts w:ascii="Times New Roman" w:hAnsi="Times New Roman" w:cs="Times New Roman"/>
          <w:sz w:val="24"/>
          <w:szCs w:val="24"/>
        </w:rPr>
        <w:t>.</w:t>
      </w:r>
      <w:r w:rsidR="00550476">
        <w:rPr>
          <w:rFonts w:ascii="Times New Roman" w:hAnsi="Times New Roman" w:cs="Times New Roman"/>
          <w:sz w:val="24"/>
          <w:szCs w:val="24"/>
        </w:rPr>
        <w:t xml:space="preserve"> </w:t>
      </w:r>
      <w:r w:rsidR="00053ABA">
        <w:rPr>
          <w:rFonts w:ascii="Times New Roman" w:hAnsi="Times New Roman" w:cs="Times New Roman"/>
          <w:sz w:val="24"/>
          <w:szCs w:val="24"/>
        </w:rPr>
        <w:t>Leurs revendications</w:t>
      </w:r>
      <w:r w:rsidR="00550476">
        <w:rPr>
          <w:rFonts w:ascii="Times New Roman" w:hAnsi="Times New Roman" w:cs="Times New Roman"/>
          <w:sz w:val="24"/>
          <w:szCs w:val="24"/>
        </w:rPr>
        <w:t xml:space="preserve"> </w:t>
      </w:r>
      <w:r w:rsidR="00C126F2">
        <w:rPr>
          <w:rFonts w:ascii="Times New Roman" w:hAnsi="Times New Roman" w:cs="Times New Roman"/>
          <w:sz w:val="24"/>
          <w:szCs w:val="24"/>
        </w:rPr>
        <w:t>rejoignent</w:t>
      </w:r>
      <w:r w:rsidR="00550476">
        <w:rPr>
          <w:rFonts w:ascii="Times New Roman" w:hAnsi="Times New Roman" w:cs="Times New Roman"/>
          <w:sz w:val="24"/>
          <w:szCs w:val="24"/>
        </w:rPr>
        <w:t xml:space="preserve"> l’intérêt des salariés des autres sous-traitants, intérimaires inclus, dont l’emploi est aussi menacé.</w:t>
      </w:r>
      <w:r w:rsidRPr="00773724">
        <w:rPr>
          <w:rFonts w:ascii="Times New Roman" w:hAnsi="Times New Roman" w:cs="Times New Roman"/>
          <w:sz w:val="24"/>
          <w:szCs w:val="24"/>
        </w:rPr>
        <w:t xml:space="preserve"> </w:t>
      </w:r>
      <w:r w:rsidR="00550476" w:rsidRPr="00C126F2">
        <w:rPr>
          <w:rFonts w:ascii="Times New Roman" w:hAnsi="Times New Roman" w:cs="Times New Roman"/>
          <w:b/>
          <w:bCs/>
          <w:color w:val="FF0000"/>
          <w:sz w:val="24"/>
          <w:szCs w:val="24"/>
        </w:rPr>
        <w:t>En posant les outils, ils ont commencé à se faire respecter, c’est un encouragement pour tous les salariés des autres sous-traitants et si tout n’est pas réglé, c’est à juste titre qu’ils ont décidé de rester vigilants.</w:t>
      </w:r>
    </w:p>
    <w:p w14:paraId="4324622E" w14:textId="7D525A1F" w:rsidR="00F300C1" w:rsidRPr="00573EA9" w:rsidRDefault="00F300C1" w:rsidP="00377C8C">
      <w:pPr>
        <w:pBdr>
          <w:top w:val="single" w:sz="12" w:space="1" w:color="auto" w:shadow="1"/>
          <w:left w:val="single" w:sz="12" w:space="4" w:color="auto" w:shadow="1"/>
          <w:bottom w:val="single" w:sz="12" w:space="1" w:color="auto" w:shadow="1"/>
          <w:right w:val="single" w:sz="12" w:space="31" w:color="auto" w:shadow="1"/>
        </w:pBdr>
        <w:suppressAutoHyphens/>
        <w:spacing w:beforeLines="80" w:before="192" w:after="80" w:line="240" w:lineRule="auto"/>
        <w:ind w:left="1418" w:right="709"/>
        <w:contextualSpacing/>
        <w:jc w:val="center"/>
        <w:rPr>
          <w:rFonts w:ascii="Comic Sans MS" w:hAnsi="Comic Sans MS" w:cs="Aharoni"/>
          <w:b/>
          <w:noProof/>
          <w:color w:val="FF0000"/>
          <w:spacing w:val="-30"/>
          <w:sz w:val="40"/>
          <w:szCs w:val="40"/>
        </w:rPr>
        <w:sectPr w:rsidR="00F300C1" w:rsidRPr="00573EA9" w:rsidSect="00481B0F">
          <w:type w:val="continuous"/>
          <w:pgSz w:w="11906" w:h="16838"/>
          <w:pgMar w:top="426" w:right="424" w:bottom="142" w:left="709" w:header="708" w:footer="324" w:gutter="0"/>
          <w:cols w:space="708"/>
          <w:docGrid w:linePitch="360"/>
        </w:sectPr>
      </w:pPr>
    </w:p>
    <w:p w14:paraId="08E922A9" w14:textId="7115B1F5" w:rsidR="00E4348C" w:rsidRPr="00F34F96" w:rsidRDefault="00377C8C" w:rsidP="00924F43">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line="240" w:lineRule="auto"/>
        <w:ind w:left="1843" w:right="111"/>
        <w:jc w:val="center"/>
        <w:rPr>
          <w:rFonts w:ascii="Comic Sans MS" w:hAnsi="Comic Sans MS"/>
          <w:noProof/>
          <w:color w:val="FF0000"/>
          <w:sz w:val="56"/>
          <w:szCs w:val="56"/>
        </w:rPr>
      </w:pPr>
      <w:r>
        <w:rPr>
          <w:rFonts w:ascii="Times New Roman" w:hAnsi="Times New Roman" w:cs="Times New Roman"/>
          <w:noProof/>
          <w:sz w:val="32"/>
          <w:szCs w:val="32"/>
        </w:rPr>
        <w:lastRenderedPageBreak/>
        <w:drawing>
          <wp:anchor distT="0" distB="0" distL="114300" distR="114300" simplePos="0" relativeHeight="251711488" behindDoc="0" locked="0" layoutInCell="1" allowOverlap="1" wp14:anchorId="1A56BDF2" wp14:editId="662930F8">
            <wp:simplePos x="0" y="0"/>
            <wp:positionH relativeFrom="column">
              <wp:posOffset>35259</wp:posOffset>
            </wp:positionH>
            <wp:positionV relativeFrom="paragraph">
              <wp:posOffset>-11089</wp:posOffset>
            </wp:positionV>
            <wp:extent cx="1030051" cy="1310185"/>
            <wp:effectExtent l="0" t="0" r="0" b="444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a:extLst>
                        <a:ext uri="{28A0092B-C50C-407E-A947-70E740481C1C}">
                          <a14:useLocalDpi xmlns:a14="http://schemas.microsoft.com/office/drawing/2010/main" val="0"/>
                        </a:ext>
                      </a:extLst>
                    </a:blip>
                    <a:stretch>
                      <a:fillRect/>
                    </a:stretch>
                  </pic:blipFill>
                  <pic:spPr>
                    <a:xfrm>
                      <a:off x="0" y="0"/>
                      <a:ext cx="1030051" cy="1310185"/>
                    </a:xfrm>
                    <a:prstGeom prst="rect">
                      <a:avLst/>
                    </a:prstGeom>
                  </pic:spPr>
                </pic:pic>
              </a:graphicData>
            </a:graphic>
            <wp14:sizeRelH relativeFrom="margin">
              <wp14:pctWidth>0</wp14:pctWidth>
            </wp14:sizeRelH>
            <wp14:sizeRelV relativeFrom="margin">
              <wp14:pctHeight>0</wp14:pctHeight>
            </wp14:sizeRelV>
          </wp:anchor>
        </w:drawing>
      </w:r>
      <w:r w:rsidR="00E4348C" w:rsidRPr="00F34F96">
        <w:rPr>
          <w:rFonts w:ascii="Comic Sans MS" w:hAnsi="Comic Sans MS"/>
          <w:b/>
          <w:bCs/>
          <w:noProof/>
          <w:color w:val="FF0000"/>
          <w:sz w:val="72"/>
          <w:szCs w:val="72"/>
        </w:rPr>
        <w:t xml:space="preserve">400 </w:t>
      </w:r>
      <w:r w:rsidR="00E4348C" w:rsidRPr="00F34F96">
        <w:rPr>
          <w:rFonts w:ascii="Comic Sans MS" w:hAnsi="Comic Sans MS"/>
          <w:noProof/>
          <w:color w:val="FF0000"/>
          <w:sz w:val="56"/>
          <w:szCs w:val="56"/>
        </w:rPr>
        <w:t>€ d’augmentation, c’est possible et nécessaire</w:t>
      </w:r>
      <w:r w:rsidR="00F34F96">
        <w:rPr>
          <w:rFonts w:ascii="Comic Sans MS" w:hAnsi="Comic Sans MS"/>
          <w:noProof/>
          <w:color w:val="FF0000"/>
          <w:sz w:val="56"/>
          <w:szCs w:val="56"/>
        </w:rPr>
        <w:t> !</w:t>
      </w:r>
    </w:p>
    <w:p w14:paraId="7FC094C9" w14:textId="2208461B" w:rsidR="00F27A98" w:rsidRPr="00927198" w:rsidRDefault="00924F43" w:rsidP="00377C8C">
      <w:pPr>
        <w:spacing w:before="480" w:after="240" w:line="240" w:lineRule="auto"/>
        <w:ind w:right="111"/>
        <w:jc w:val="center"/>
        <w:rPr>
          <w:b/>
          <w:bCs/>
          <w:noProof/>
          <w:color w:val="000000" w:themeColor="text1"/>
          <w:sz w:val="28"/>
          <w:szCs w:val="28"/>
        </w:rPr>
      </w:pPr>
      <w:r w:rsidRPr="00927198">
        <w:rPr>
          <w:rFonts w:ascii="Times New Roman" w:hAnsi="Times New Roman" w:cs="Times New Roman"/>
          <w:b/>
          <w:bCs/>
          <w:noProof/>
          <w:sz w:val="20"/>
          <w:szCs w:val="20"/>
        </w:rPr>
        <w:drawing>
          <wp:anchor distT="0" distB="0" distL="114300" distR="114300" simplePos="0" relativeHeight="251651072" behindDoc="1" locked="0" layoutInCell="1" allowOverlap="1" wp14:anchorId="5D35E6E6" wp14:editId="125C6076">
            <wp:simplePos x="0" y="0"/>
            <wp:positionH relativeFrom="margin">
              <wp:posOffset>1787525</wp:posOffset>
            </wp:positionH>
            <wp:positionV relativeFrom="paragraph">
              <wp:posOffset>1450975</wp:posOffset>
            </wp:positionV>
            <wp:extent cx="5312372" cy="3970928"/>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a:extLst>
                        <a:ext uri="{28A0092B-C50C-407E-A947-70E740481C1C}">
                          <a14:useLocalDpi xmlns:a14="http://schemas.microsoft.com/office/drawing/2010/main" val="0"/>
                        </a:ext>
                      </a:extLst>
                    </a:blip>
                    <a:stretch>
                      <a:fillRect/>
                    </a:stretch>
                  </pic:blipFill>
                  <pic:spPr>
                    <a:xfrm>
                      <a:off x="0" y="0"/>
                      <a:ext cx="5312372" cy="3970928"/>
                    </a:xfrm>
                    <a:prstGeom prst="rect">
                      <a:avLst/>
                    </a:prstGeom>
                  </pic:spPr>
                </pic:pic>
              </a:graphicData>
            </a:graphic>
            <wp14:sizeRelH relativeFrom="margin">
              <wp14:pctWidth>0</wp14:pctWidth>
            </wp14:sizeRelH>
            <wp14:sizeRelV relativeFrom="margin">
              <wp14:pctHeight>0</wp14:pctHeight>
            </wp14:sizeRelV>
          </wp:anchor>
        </w:drawing>
      </w:r>
      <w:r w:rsidR="00377C8C" w:rsidRPr="00927198">
        <w:rPr>
          <w:b/>
          <w:bCs/>
          <w:noProof/>
          <w:sz w:val="24"/>
          <w:szCs w:val="24"/>
        </w:rPr>
        <w:drawing>
          <wp:anchor distT="0" distB="0" distL="114300" distR="114300" simplePos="0" relativeHeight="251704320" behindDoc="0" locked="0" layoutInCell="1" allowOverlap="1" wp14:anchorId="5B37A533" wp14:editId="489254F6">
            <wp:simplePos x="0" y="0"/>
            <wp:positionH relativeFrom="margin">
              <wp:posOffset>1063625</wp:posOffset>
            </wp:positionH>
            <wp:positionV relativeFrom="paragraph">
              <wp:posOffset>1114425</wp:posOffset>
            </wp:positionV>
            <wp:extent cx="1139190" cy="884555"/>
            <wp:effectExtent l="0" t="0" r="0" b="0"/>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extLst>
                        <a:ext uri="{28A0092B-C50C-407E-A947-70E740481C1C}">
                          <a14:useLocalDpi xmlns:a14="http://schemas.microsoft.com/office/drawing/2010/main" val="0"/>
                        </a:ext>
                      </a:extLst>
                    </a:blip>
                    <a:stretch>
                      <a:fillRect/>
                    </a:stretch>
                  </pic:blipFill>
                  <pic:spPr>
                    <a:xfrm rot="20029170">
                      <a:off x="0" y="0"/>
                      <a:ext cx="1139190" cy="884555"/>
                    </a:xfrm>
                    <a:prstGeom prst="rect">
                      <a:avLst/>
                    </a:prstGeom>
                  </pic:spPr>
                </pic:pic>
              </a:graphicData>
            </a:graphic>
            <wp14:sizeRelH relativeFrom="margin">
              <wp14:pctWidth>0</wp14:pctWidth>
            </wp14:sizeRelH>
            <wp14:sizeRelV relativeFrom="margin">
              <wp14:pctHeight>0</wp14:pctHeight>
            </wp14:sizeRelV>
          </wp:anchor>
        </w:drawing>
      </w:r>
      <w:r w:rsidR="00F27A98" w:rsidRPr="00927198">
        <w:rPr>
          <w:b/>
          <w:bCs/>
          <w:noProof/>
          <w:color w:val="000000" w:themeColor="text1"/>
          <w:sz w:val="32"/>
          <w:szCs w:val="32"/>
        </w:rPr>
        <w:t>La CGT vous fait la d</w:t>
      </w:r>
      <w:r w:rsidR="007036DE">
        <w:rPr>
          <w:b/>
          <w:bCs/>
          <w:noProof/>
          <w:color w:val="000000" w:themeColor="text1"/>
          <w:sz w:val="32"/>
          <w:szCs w:val="32"/>
        </w:rPr>
        <w:t>é</w:t>
      </w:r>
      <w:r w:rsidR="00F27A98" w:rsidRPr="00927198">
        <w:rPr>
          <w:b/>
          <w:bCs/>
          <w:noProof/>
          <w:color w:val="000000" w:themeColor="text1"/>
          <w:sz w:val="32"/>
          <w:szCs w:val="32"/>
        </w:rPr>
        <w:t>monstration que cela ne co</w:t>
      </w:r>
      <w:r w:rsidR="007036DE">
        <w:rPr>
          <w:b/>
          <w:bCs/>
          <w:noProof/>
          <w:color w:val="000000" w:themeColor="text1"/>
          <w:sz w:val="32"/>
          <w:szCs w:val="32"/>
        </w:rPr>
        <w:t>û</w:t>
      </w:r>
      <w:r w:rsidR="00F27A98" w:rsidRPr="00927198">
        <w:rPr>
          <w:b/>
          <w:bCs/>
          <w:noProof/>
          <w:color w:val="000000" w:themeColor="text1"/>
          <w:sz w:val="32"/>
          <w:szCs w:val="32"/>
        </w:rPr>
        <w:t>terait presque rien à STELLANTIS d’augmenter ses salariés</w:t>
      </w:r>
      <w:r w:rsidR="006F0B05">
        <w:rPr>
          <w:b/>
          <w:bCs/>
          <w:noProof/>
          <w:color w:val="000000" w:themeColor="text1"/>
          <w:sz w:val="32"/>
          <w:szCs w:val="32"/>
        </w:rPr>
        <w:t xml:space="preserve"> en France</w:t>
      </w:r>
      <w:r w:rsidR="00F27A98" w:rsidRPr="00927198">
        <w:rPr>
          <w:b/>
          <w:bCs/>
          <w:noProof/>
          <w:color w:val="000000" w:themeColor="text1"/>
          <w:sz w:val="32"/>
          <w:szCs w:val="32"/>
        </w:rPr>
        <w:t xml:space="preserve"> et que ceci n’est pas du tout déraisonné comme voudraient nous le faire croire certains</w:t>
      </w:r>
    </w:p>
    <w:p w14:paraId="7BDE2954" w14:textId="77777777" w:rsidR="00D24CE4" w:rsidRDefault="00D24CE4" w:rsidP="00377C8C">
      <w:pPr>
        <w:spacing w:after="0" w:line="240" w:lineRule="auto"/>
        <w:ind w:left="284" w:right="-31"/>
        <w:rPr>
          <w:color w:val="000000" w:themeColor="text1"/>
          <w:sz w:val="32"/>
          <w:szCs w:val="32"/>
        </w:rPr>
        <w:sectPr w:rsidR="00D24CE4" w:rsidSect="00377C8C">
          <w:pgSz w:w="11906" w:h="16838"/>
          <w:pgMar w:top="425" w:right="425" w:bottom="142" w:left="709" w:header="709" w:footer="323" w:gutter="0"/>
          <w:cols w:space="708"/>
          <w:docGrid w:linePitch="360"/>
        </w:sectPr>
      </w:pPr>
    </w:p>
    <w:p w14:paraId="28EDE13C" w14:textId="0F9353F3" w:rsidR="0090399E" w:rsidRDefault="001C26E8" w:rsidP="00377C8C">
      <w:pPr>
        <w:spacing w:before="120" w:after="0" w:line="240" w:lineRule="auto"/>
        <w:ind w:left="284" w:right="-28"/>
        <w:jc w:val="center"/>
        <w:rPr>
          <w:rFonts w:ascii="Times New Roman" w:hAnsi="Times New Roman" w:cs="Times New Roman"/>
          <w:noProof/>
          <w:sz w:val="32"/>
          <w:szCs w:val="32"/>
        </w:rPr>
      </w:pPr>
      <w:r>
        <w:rPr>
          <w:noProof/>
        </w:rPr>
        <w:drawing>
          <wp:anchor distT="0" distB="0" distL="114300" distR="114300" simplePos="0" relativeHeight="251709440" behindDoc="0" locked="0" layoutInCell="1" allowOverlap="1" wp14:anchorId="2D2E75E7" wp14:editId="1D6618AA">
            <wp:simplePos x="0" y="0"/>
            <wp:positionH relativeFrom="margin">
              <wp:posOffset>805815</wp:posOffset>
            </wp:positionH>
            <wp:positionV relativeFrom="paragraph">
              <wp:posOffset>1986280</wp:posOffset>
            </wp:positionV>
            <wp:extent cx="1092200" cy="107950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1092200" cy="1079500"/>
                    </a:xfrm>
                    <a:prstGeom prst="rect">
                      <a:avLst/>
                    </a:prstGeom>
                  </pic:spPr>
                </pic:pic>
              </a:graphicData>
            </a:graphic>
            <wp14:sizeRelH relativeFrom="margin">
              <wp14:pctWidth>0</wp14:pctWidth>
            </wp14:sizeRelH>
            <wp14:sizeRelV relativeFrom="margin">
              <wp14:pctHeight>0</wp14:pctHeight>
            </wp14:sizeRelV>
          </wp:anchor>
        </w:drawing>
      </w:r>
      <w:r w:rsidR="00F27A98" w:rsidRPr="00F300C1">
        <w:rPr>
          <w:color w:val="000000" w:themeColor="text1"/>
          <w:sz w:val="32"/>
          <w:szCs w:val="32"/>
        </w:rPr>
        <w:t>Sur le prix 2021 d’une 308 de base,</w:t>
      </w:r>
      <w:r w:rsidR="00F300C1" w:rsidRPr="00F300C1">
        <w:rPr>
          <w:color w:val="000000" w:themeColor="text1"/>
          <w:sz w:val="32"/>
          <w:szCs w:val="32"/>
        </w:rPr>
        <w:t xml:space="preserve"> </w:t>
      </w:r>
      <w:r w:rsidR="00F300C1" w:rsidRPr="001C26E8">
        <w:rPr>
          <w:b/>
          <w:bCs/>
          <w:color w:val="000000" w:themeColor="text1"/>
          <w:sz w:val="32"/>
          <w:szCs w:val="32"/>
        </w:rPr>
        <w:t>a</w:t>
      </w:r>
      <w:r w:rsidR="00F27A98" w:rsidRPr="001C26E8">
        <w:rPr>
          <w:b/>
          <w:bCs/>
          <w:color w:val="000000" w:themeColor="text1"/>
          <w:sz w:val="32"/>
          <w:szCs w:val="32"/>
        </w:rPr>
        <w:t>ugmenter les salaires de 400€ net</w:t>
      </w:r>
      <w:r w:rsidR="003C7D46">
        <w:rPr>
          <w:color w:val="000000" w:themeColor="text1"/>
          <w:sz w:val="32"/>
          <w:szCs w:val="32"/>
        </w:rPr>
        <w:t xml:space="preserve"> (5</w:t>
      </w:r>
      <w:r w:rsidR="007036DE">
        <w:rPr>
          <w:color w:val="000000" w:themeColor="text1"/>
          <w:sz w:val="32"/>
          <w:szCs w:val="32"/>
        </w:rPr>
        <w:t>12</w:t>
      </w:r>
      <w:r w:rsidR="003C7D46">
        <w:rPr>
          <w:color w:val="000000" w:themeColor="text1"/>
          <w:sz w:val="32"/>
          <w:szCs w:val="32"/>
        </w:rPr>
        <w:t>€ Brut)</w:t>
      </w:r>
      <w:r w:rsidR="00F300C1" w:rsidRPr="00F300C1">
        <w:rPr>
          <w:color w:val="000000" w:themeColor="text1"/>
          <w:sz w:val="32"/>
          <w:szCs w:val="32"/>
        </w:rPr>
        <w:t xml:space="preserve">, </w:t>
      </w:r>
      <w:r w:rsidR="006F0B05">
        <w:rPr>
          <w:color w:val="000000" w:themeColor="text1"/>
          <w:sz w:val="32"/>
          <w:szCs w:val="32"/>
        </w:rPr>
        <w:t xml:space="preserve">ne </w:t>
      </w:r>
      <w:r w:rsidR="00F300C1" w:rsidRPr="00F300C1">
        <w:rPr>
          <w:color w:val="000000" w:themeColor="text1"/>
          <w:sz w:val="32"/>
          <w:szCs w:val="32"/>
        </w:rPr>
        <w:t>r</w:t>
      </w:r>
      <w:r w:rsidR="00F27A98" w:rsidRPr="00F300C1">
        <w:rPr>
          <w:color w:val="000000" w:themeColor="text1"/>
          <w:sz w:val="32"/>
          <w:szCs w:val="32"/>
        </w:rPr>
        <w:t xml:space="preserve">eprésenterait que </w:t>
      </w:r>
      <w:r w:rsidR="00232E1D" w:rsidRPr="001C26E8">
        <w:rPr>
          <w:b/>
          <w:bCs/>
          <w:color w:val="000000" w:themeColor="text1"/>
          <w:sz w:val="32"/>
          <w:szCs w:val="32"/>
        </w:rPr>
        <w:t>0,</w:t>
      </w:r>
      <w:r w:rsidR="007036DE" w:rsidRPr="001C26E8">
        <w:rPr>
          <w:b/>
          <w:bCs/>
          <w:color w:val="000000" w:themeColor="text1"/>
          <w:sz w:val="32"/>
          <w:szCs w:val="32"/>
        </w:rPr>
        <w:t>35</w:t>
      </w:r>
      <w:r w:rsidR="00F27A98" w:rsidRPr="001C26E8">
        <w:rPr>
          <w:b/>
          <w:bCs/>
          <w:color w:val="000000" w:themeColor="text1"/>
          <w:sz w:val="32"/>
          <w:szCs w:val="32"/>
        </w:rPr>
        <w:t>% du prix du véhicule</w:t>
      </w:r>
      <w:r w:rsidR="00232AF5">
        <w:rPr>
          <w:rFonts w:ascii="Times New Roman" w:hAnsi="Times New Roman" w:cs="Times New Roman"/>
          <w:noProof/>
          <w:sz w:val="32"/>
          <w:szCs w:val="32"/>
        </w:rPr>
        <w:t>.</w:t>
      </w:r>
    </w:p>
    <w:p w14:paraId="088393AB" w14:textId="3EFC24D4" w:rsidR="00F300C1" w:rsidRPr="007036DE" w:rsidRDefault="00F300C1" w:rsidP="001C26E8">
      <w:pPr>
        <w:spacing w:before="120" w:after="120" w:line="240" w:lineRule="auto"/>
        <w:ind w:right="-28"/>
        <w:jc w:val="both"/>
        <w:rPr>
          <w:color w:val="000000" w:themeColor="text1"/>
          <w:sz w:val="30"/>
          <w:szCs w:val="30"/>
        </w:rPr>
      </w:pPr>
      <w:r w:rsidRPr="007036DE">
        <w:rPr>
          <w:color w:val="000000" w:themeColor="text1"/>
          <w:sz w:val="30"/>
          <w:szCs w:val="30"/>
        </w:rPr>
        <w:t>Si l’on augmente tous les salaires de 400€</w:t>
      </w:r>
      <w:r w:rsidR="00FD0286" w:rsidRPr="007036DE">
        <w:rPr>
          <w:color w:val="000000" w:themeColor="text1"/>
          <w:sz w:val="30"/>
          <w:szCs w:val="30"/>
        </w:rPr>
        <w:t xml:space="preserve"> Net</w:t>
      </w:r>
      <w:r w:rsidRPr="007036DE">
        <w:rPr>
          <w:color w:val="000000" w:themeColor="text1"/>
          <w:sz w:val="30"/>
          <w:szCs w:val="30"/>
        </w:rPr>
        <w:t xml:space="preserve"> par mois au</w:t>
      </w:r>
      <w:r w:rsidR="006F0B05" w:rsidRPr="007036DE">
        <w:rPr>
          <w:color w:val="000000" w:themeColor="text1"/>
          <w:sz w:val="30"/>
          <w:szCs w:val="30"/>
        </w:rPr>
        <w:t>x</w:t>
      </w:r>
      <w:r w:rsidRPr="007036DE">
        <w:rPr>
          <w:color w:val="000000" w:themeColor="text1"/>
          <w:sz w:val="30"/>
          <w:szCs w:val="30"/>
        </w:rPr>
        <w:t xml:space="preserve"> 40.000 salariés </w:t>
      </w:r>
      <w:r w:rsidR="007036DE" w:rsidRPr="007036DE">
        <w:rPr>
          <w:color w:val="000000" w:themeColor="text1"/>
          <w:sz w:val="30"/>
          <w:szCs w:val="30"/>
        </w:rPr>
        <w:t>en France</w:t>
      </w:r>
      <w:r w:rsidRPr="007036DE">
        <w:rPr>
          <w:color w:val="000000" w:themeColor="text1"/>
          <w:sz w:val="30"/>
          <w:szCs w:val="30"/>
        </w:rPr>
        <w:t xml:space="preserve"> du groupe</w:t>
      </w:r>
      <w:r w:rsidR="006F0B05" w:rsidRPr="007036DE">
        <w:rPr>
          <w:color w:val="000000" w:themeColor="text1"/>
          <w:sz w:val="30"/>
          <w:szCs w:val="30"/>
        </w:rPr>
        <w:t>,</w:t>
      </w:r>
      <w:r w:rsidRPr="007036DE">
        <w:rPr>
          <w:color w:val="000000" w:themeColor="text1"/>
          <w:sz w:val="30"/>
          <w:szCs w:val="30"/>
        </w:rPr>
        <w:t xml:space="preserve"> cela représente :</w:t>
      </w:r>
    </w:p>
    <w:p w14:paraId="18058644" w14:textId="5D522273" w:rsidR="00F300C1" w:rsidRPr="007036DE" w:rsidRDefault="00F300C1" w:rsidP="001C26E8">
      <w:pPr>
        <w:pStyle w:val="Paragraphedeliste"/>
        <w:numPr>
          <w:ilvl w:val="0"/>
          <w:numId w:val="4"/>
        </w:numPr>
        <w:spacing w:after="120" w:line="240" w:lineRule="auto"/>
        <w:ind w:left="426" w:right="-31"/>
        <w:jc w:val="center"/>
        <w:rPr>
          <w:color w:val="000000" w:themeColor="text1"/>
          <w:sz w:val="28"/>
          <w:szCs w:val="28"/>
        </w:rPr>
      </w:pPr>
      <w:r w:rsidRPr="007036DE">
        <w:rPr>
          <w:color w:val="000000" w:themeColor="text1"/>
          <w:sz w:val="28"/>
          <w:szCs w:val="28"/>
        </w:rPr>
        <w:t xml:space="preserve">40 000 salariés X </w:t>
      </w:r>
      <w:r w:rsidR="00232AF5" w:rsidRPr="007036DE">
        <w:rPr>
          <w:color w:val="000000" w:themeColor="text1"/>
          <w:sz w:val="28"/>
          <w:szCs w:val="28"/>
        </w:rPr>
        <w:t>5</w:t>
      </w:r>
      <w:r w:rsidR="007036DE">
        <w:rPr>
          <w:color w:val="000000" w:themeColor="text1"/>
          <w:sz w:val="28"/>
          <w:szCs w:val="28"/>
        </w:rPr>
        <w:t>12</w:t>
      </w:r>
      <w:r w:rsidRPr="007036DE">
        <w:rPr>
          <w:color w:val="000000" w:themeColor="text1"/>
          <w:sz w:val="28"/>
          <w:szCs w:val="28"/>
        </w:rPr>
        <w:t>€</w:t>
      </w:r>
      <w:r w:rsidR="00232AF5" w:rsidRPr="007036DE">
        <w:rPr>
          <w:color w:val="000000" w:themeColor="text1"/>
          <w:sz w:val="28"/>
          <w:szCs w:val="28"/>
        </w:rPr>
        <w:t xml:space="preserve"> brut (400€ net)</w:t>
      </w:r>
      <w:r w:rsidR="007036DE">
        <w:rPr>
          <w:color w:val="000000" w:themeColor="text1"/>
          <w:sz w:val="28"/>
          <w:szCs w:val="28"/>
        </w:rPr>
        <w:t xml:space="preserve"> </w:t>
      </w:r>
      <w:r w:rsidR="007036DE" w:rsidRPr="007036DE">
        <w:rPr>
          <w:color w:val="000000" w:themeColor="text1"/>
          <w:sz w:val="28"/>
          <w:szCs w:val="28"/>
        </w:rPr>
        <w:t>x1,</w:t>
      </w:r>
      <w:r w:rsidR="007036DE">
        <w:rPr>
          <w:color w:val="000000" w:themeColor="text1"/>
          <w:sz w:val="28"/>
          <w:szCs w:val="28"/>
        </w:rPr>
        <w:t>45</w:t>
      </w:r>
      <w:r w:rsidR="007036DE" w:rsidRPr="007036DE">
        <w:rPr>
          <w:color w:val="000000" w:themeColor="text1"/>
          <w:sz w:val="28"/>
          <w:szCs w:val="28"/>
        </w:rPr>
        <w:t xml:space="preserve"> (cotisations patronales)</w:t>
      </w:r>
      <w:r w:rsidRPr="007036DE">
        <w:rPr>
          <w:color w:val="000000" w:themeColor="text1"/>
          <w:sz w:val="28"/>
          <w:szCs w:val="28"/>
        </w:rPr>
        <w:t xml:space="preserve"> x 1</w:t>
      </w:r>
      <w:r w:rsidR="00232AF5" w:rsidRPr="007036DE">
        <w:rPr>
          <w:color w:val="000000" w:themeColor="text1"/>
          <w:sz w:val="28"/>
          <w:szCs w:val="28"/>
        </w:rPr>
        <w:t>3</w:t>
      </w:r>
      <w:r w:rsidRPr="007036DE">
        <w:rPr>
          <w:color w:val="000000" w:themeColor="text1"/>
          <w:sz w:val="28"/>
          <w:szCs w:val="28"/>
        </w:rPr>
        <w:t xml:space="preserve"> mois = </w:t>
      </w:r>
      <w:r w:rsidR="007036DE" w:rsidRPr="007036DE">
        <w:rPr>
          <w:b/>
          <w:bCs/>
          <w:color w:val="FF0000"/>
          <w:sz w:val="40"/>
          <w:szCs w:val="40"/>
        </w:rPr>
        <w:t>386 048 000</w:t>
      </w:r>
      <w:r w:rsidR="00121785" w:rsidRPr="007036DE">
        <w:rPr>
          <w:b/>
          <w:bCs/>
          <w:color w:val="FF0000"/>
          <w:sz w:val="40"/>
          <w:szCs w:val="40"/>
        </w:rPr>
        <w:t xml:space="preserve"> m</w:t>
      </w:r>
      <w:r w:rsidRPr="007036DE">
        <w:rPr>
          <w:b/>
          <w:bCs/>
          <w:color w:val="FF0000"/>
          <w:sz w:val="40"/>
          <w:szCs w:val="40"/>
        </w:rPr>
        <w:t xml:space="preserve">illions </w:t>
      </w:r>
      <w:r w:rsidR="00121785" w:rsidRPr="007036DE">
        <w:rPr>
          <w:b/>
          <w:bCs/>
          <w:color w:val="FF0000"/>
          <w:sz w:val="40"/>
          <w:szCs w:val="40"/>
        </w:rPr>
        <w:t>d’</w:t>
      </w:r>
      <w:r w:rsidRPr="007036DE">
        <w:rPr>
          <w:b/>
          <w:bCs/>
          <w:color w:val="FF0000"/>
          <w:sz w:val="40"/>
          <w:szCs w:val="40"/>
        </w:rPr>
        <w:t>€</w:t>
      </w:r>
    </w:p>
    <w:p w14:paraId="26FC9FBE" w14:textId="2BEEACF9" w:rsidR="00F300C1" w:rsidRPr="00F300C1" w:rsidRDefault="00F300C1" w:rsidP="001C26E8">
      <w:pPr>
        <w:pStyle w:val="Paragraphedeliste"/>
        <w:spacing w:after="120" w:line="240" w:lineRule="auto"/>
        <w:ind w:left="0" w:right="-31"/>
        <w:jc w:val="center"/>
        <w:rPr>
          <w:color w:val="000000" w:themeColor="text1"/>
          <w:sz w:val="32"/>
          <w:szCs w:val="32"/>
        </w:rPr>
      </w:pPr>
      <w:r w:rsidRPr="00F300C1">
        <w:rPr>
          <w:color w:val="000000" w:themeColor="text1"/>
          <w:sz w:val="32"/>
          <w:szCs w:val="32"/>
        </w:rPr>
        <w:t>Divisés par 4</w:t>
      </w:r>
      <w:r w:rsidR="00121785">
        <w:rPr>
          <w:color w:val="000000" w:themeColor="text1"/>
          <w:sz w:val="32"/>
          <w:szCs w:val="32"/>
        </w:rPr>
        <w:t xml:space="preserve"> </w:t>
      </w:r>
      <w:r w:rsidRPr="00F300C1">
        <w:rPr>
          <w:color w:val="000000" w:themeColor="text1"/>
          <w:sz w:val="32"/>
          <w:szCs w:val="32"/>
        </w:rPr>
        <w:t>500</w:t>
      </w:r>
      <w:r w:rsidR="00121785">
        <w:rPr>
          <w:color w:val="000000" w:themeColor="text1"/>
          <w:sz w:val="32"/>
          <w:szCs w:val="32"/>
        </w:rPr>
        <w:t xml:space="preserve"> </w:t>
      </w:r>
      <w:r w:rsidRPr="00F300C1">
        <w:rPr>
          <w:color w:val="000000" w:themeColor="text1"/>
          <w:sz w:val="32"/>
          <w:szCs w:val="32"/>
        </w:rPr>
        <w:t>000 de voitures vendues</w:t>
      </w:r>
    </w:p>
    <w:p w14:paraId="68529720" w14:textId="4217BF2D" w:rsidR="00D24CE4" w:rsidRDefault="00F300C1" w:rsidP="001C26E8">
      <w:pPr>
        <w:pStyle w:val="Paragraphedeliste"/>
        <w:spacing w:after="120" w:line="240" w:lineRule="auto"/>
        <w:ind w:left="0" w:right="212"/>
        <w:jc w:val="center"/>
        <w:rPr>
          <w:b/>
          <w:bCs/>
          <w:noProof/>
          <w:color w:val="000000" w:themeColor="text1"/>
          <w:sz w:val="32"/>
          <w:szCs w:val="32"/>
          <w:u w:val="single"/>
        </w:rPr>
      </w:pPr>
      <w:r w:rsidRPr="00F300C1">
        <w:rPr>
          <w:color w:val="000000" w:themeColor="text1"/>
          <w:sz w:val="32"/>
          <w:szCs w:val="32"/>
        </w:rPr>
        <w:t>=</w:t>
      </w:r>
      <w:r w:rsidR="00377C8C">
        <w:rPr>
          <w:color w:val="000000" w:themeColor="text1"/>
          <w:sz w:val="32"/>
          <w:szCs w:val="32"/>
        </w:rPr>
        <w:t xml:space="preserve"> </w:t>
      </w:r>
      <w:r w:rsidR="007036DE">
        <w:rPr>
          <w:b/>
          <w:bCs/>
          <w:color w:val="FF0000"/>
          <w:sz w:val="44"/>
          <w:szCs w:val="44"/>
        </w:rPr>
        <w:t>85</w:t>
      </w:r>
      <w:r w:rsidR="00121785">
        <w:rPr>
          <w:b/>
          <w:bCs/>
          <w:color w:val="FF0000"/>
          <w:sz w:val="44"/>
          <w:szCs w:val="44"/>
        </w:rPr>
        <w:t>,</w:t>
      </w:r>
      <w:r w:rsidR="007036DE">
        <w:rPr>
          <w:b/>
          <w:bCs/>
          <w:color w:val="FF0000"/>
          <w:sz w:val="44"/>
          <w:szCs w:val="44"/>
        </w:rPr>
        <w:t>79</w:t>
      </w:r>
      <w:r w:rsidR="00121785">
        <w:rPr>
          <w:b/>
          <w:bCs/>
          <w:color w:val="FF0000"/>
          <w:sz w:val="44"/>
          <w:szCs w:val="44"/>
        </w:rPr>
        <w:t>€</w:t>
      </w:r>
      <w:r w:rsidRPr="00F300C1">
        <w:rPr>
          <w:color w:val="FF0000"/>
          <w:sz w:val="44"/>
          <w:szCs w:val="44"/>
        </w:rPr>
        <w:t xml:space="preserve"> </w:t>
      </w:r>
      <w:r w:rsidRPr="00F300C1">
        <w:rPr>
          <w:color w:val="000000" w:themeColor="text1"/>
          <w:sz w:val="32"/>
          <w:szCs w:val="32"/>
        </w:rPr>
        <w:t>par voiture produite</w:t>
      </w:r>
      <w:r w:rsidR="00D24CE4">
        <w:rPr>
          <w:color w:val="000000" w:themeColor="text1"/>
          <w:sz w:val="32"/>
          <w:szCs w:val="32"/>
        </w:rPr>
        <w:br w:type="column"/>
      </w:r>
      <w:r w:rsidR="002A2381" w:rsidRPr="002A2381">
        <w:rPr>
          <w:b/>
          <w:bCs/>
          <w:noProof/>
          <w:color w:val="000000" w:themeColor="text1"/>
          <w:sz w:val="36"/>
          <w:szCs w:val="36"/>
        </w:rPr>
        <w:t>308</w:t>
      </w:r>
      <w:r w:rsidR="002A2381" w:rsidRPr="002A2381">
        <w:rPr>
          <w:noProof/>
          <w:color w:val="000000" w:themeColor="text1"/>
          <w:sz w:val="32"/>
          <w:szCs w:val="32"/>
        </w:rPr>
        <w:t xml:space="preserve"> de base prix client </w:t>
      </w:r>
      <w:r w:rsidR="002A2381" w:rsidRPr="002A2381">
        <w:rPr>
          <w:b/>
          <w:bCs/>
          <w:noProof/>
          <w:color w:val="000000" w:themeColor="text1"/>
          <w:sz w:val="32"/>
          <w:szCs w:val="32"/>
          <w:u w:val="single"/>
        </w:rPr>
        <w:t>octobre 2021</w:t>
      </w:r>
    </w:p>
    <w:p w14:paraId="3DD02FEC" w14:textId="13E7B99D" w:rsidR="002A2381" w:rsidRDefault="00377C8C" w:rsidP="00377C8C">
      <w:pPr>
        <w:pStyle w:val="Paragraphedeliste"/>
        <w:spacing w:line="240" w:lineRule="auto"/>
        <w:ind w:left="284" w:right="-31"/>
        <w:jc w:val="center"/>
        <w:rPr>
          <w:b/>
          <w:bCs/>
          <w:noProof/>
          <w:color w:val="FF0000"/>
          <w:sz w:val="40"/>
          <w:szCs w:val="40"/>
        </w:rPr>
      </w:pPr>
      <w:r w:rsidRPr="00E4348C">
        <w:rPr>
          <w:rFonts w:ascii="Times New Roman" w:hAnsi="Times New Roman" w:cs="Times New Roman"/>
          <w:noProof/>
          <w:sz w:val="18"/>
          <w:szCs w:val="18"/>
        </w:rPr>
        <w:drawing>
          <wp:anchor distT="0" distB="0" distL="114300" distR="114300" simplePos="0" relativeHeight="251687936" behindDoc="0" locked="0" layoutInCell="1" allowOverlap="1" wp14:anchorId="08498C2A" wp14:editId="0C098526">
            <wp:simplePos x="0" y="0"/>
            <wp:positionH relativeFrom="column">
              <wp:posOffset>775875</wp:posOffset>
            </wp:positionH>
            <wp:positionV relativeFrom="paragraph">
              <wp:posOffset>250503</wp:posOffset>
            </wp:positionV>
            <wp:extent cx="1372902" cy="1067559"/>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extLst>
                        <a:ext uri="{28A0092B-C50C-407E-A947-70E740481C1C}">
                          <a14:useLocalDpi xmlns:a14="http://schemas.microsoft.com/office/drawing/2010/main" val="0"/>
                        </a:ext>
                      </a:extLst>
                    </a:blip>
                    <a:stretch>
                      <a:fillRect/>
                    </a:stretch>
                  </pic:blipFill>
                  <pic:spPr>
                    <a:xfrm rot="20833475">
                      <a:off x="0" y="0"/>
                      <a:ext cx="1372902" cy="1067559"/>
                    </a:xfrm>
                    <a:prstGeom prst="rect">
                      <a:avLst/>
                    </a:prstGeom>
                  </pic:spPr>
                </pic:pic>
              </a:graphicData>
            </a:graphic>
            <wp14:sizeRelH relativeFrom="margin">
              <wp14:pctWidth>0</wp14:pctWidth>
            </wp14:sizeRelH>
            <wp14:sizeRelV relativeFrom="margin">
              <wp14:pctHeight>0</wp14:pctHeight>
            </wp14:sizeRelV>
          </wp:anchor>
        </w:drawing>
      </w:r>
      <w:r w:rsidR="002A2381" w:rsidRPr="002A2381">
        <w:rPr>
          <w:b/>
          <w:bCs/>
          <w:noProof/>
          <w:color w:val="FF0000"/>
          <w:sz w:val="40"/>
          <w:szCs w:val="40"/>
        </w:rPr>
        <w:t>24.800€</w:t>
      </w:r>
    </w:p>
    <w:p w14:paraId="2697E1A0" w14:textId="77777777" w:rsidR="00377C8C" w:rsidRDefault="00377C8C" w:rsidP="00377C8C">
      <w:pPr>
        <w:pBdr>
          <w:top w:val="threeDEmboss" w:sz="24" w:space="1" w:color="FF0000"/>
          <w:left w:val="threeDEmboss" w:sz="24" w:space="4" w:color="FF0000"/>
          <w:bottom w:val="threeDEngrave" w:sz="24" w:space="1" w:color="FF0000"/>
          <w:right w:val="threeDEngrave" w:sz="24" w:space="4" w:color="FF0000"/>
        </w:pBdr>
        <w:spacing w:before="4800" w:after="120" w:line="240" w:lineRule="auto"/>
        <w:ind w:right="212"/>
        <w:jc w:val="center"/>
        <w:rPr>
          <w:rFonts w:asciiTheme="majorHAnsi" w:eastAsiaTheme="majorEastAsia" w:hAnsiTheme="majorHAnsi" w:cstheme="majorBidi"/>
          <w:i/>
          <w:iCs/>
          <w:spacing w:val="-4"/>
          <w:sz w:val="31"/>
          <w:szCs w:val="31"/>
        </w:rPr>
        <w:sectPr w:rsidR="00377C8C" w:rsidSect="00377C8C">
          <w:type w:val="continuous"/>
          <w:pgSz w:w="11906" w:h="16838"/>
          <w:pgMar w:top="425" w:right="425" w:bottom="142" w:left="709" w:header="709" w:footer="323" w:gutter="0"/>
          <w:cols w:num="2" w:space="708"/>
          <w:docGrid w:linePitch="360"/>
        </w:sectPr>
      </w:pPr>
    </w:p>
    <w:p w14:paraId="0E519B08" w14:textId="1172CBEE" w:rsidR="00781751" w:rsidRPr="00377C8C" w:rsidRDefault="00781751" w:rsidP="00377C8C">
      <w:pPr>
        <w:pBdr>
          <w:top w:val="threeDEmboss" w:sz="24" w:space="1" w:color="FF0000"/>
          <w:left w:val="threeDEmboss" w:sz="24" w:space="4" w:color="FF0000"/>
          <w:bottom w:val="threeDEngrave" w:sz="24" w:space="1" w:color="FF0000"/>
          <w:right w:val="threeDEngrave" w:sz="24" w:space="4" w:color="FF0000"/>
        </w:pBdr>
        <w:spacing w:before="240" w:after="120" w:line="240" w:lineRule="auto"/>
        <w:ind w:right="212"/>
        <w:jc w:val="center"/>
        <w:rPr>
          <w:rFonts w:asciiTheme="majorHAnsi" w:eastAsiaTheme="majorEastAsia" w:hAnsiTheme="majorHAnsi" w:cstheme="majorBidi"/>
          <w:i/>
          <w:iCs/>
          <w:spacing w:val="-4"/>
          <w:sz w:val="33"/>
          <w:szCs w:val="33"/>
        </w:rPr>
      </w:pPr>
      <w:r w:rsidRPr="00377C8C">
        <w:rPr>
          <w:rFonts w:asciiTheme="majorHAnsi" w:eastAsiaTheme="majorEastAsia" w:hAnsiTheme="majorHAnsi" w:cstheme="majorBidi"/>
          <w:i/>
          <w:iCs/>
          <w:spacing w:val="-4"/>
          <w:sz w:val="33"/>
          <w:szCs w:val="33"/>
        </w:rPr>
        <w:t xml:space="preserve">Si on faisait le calcul avec les </w:t>
      </w:r>
      <w:r w:rsidRPr="00377C8C">
        <w:rPr>
          <w:rFonts w:asciiTheme="majorHAnsi" w:eastAsiaTheme="majorEastAsia" w:hAnsiTheme="majorHAnsi" w:cstheme="majorBidi"/>
          <w:b/>
          <w:bCs/>
          <w:i/>
          <w:iCs/>
          <w:spacing w:val="-4"/>
          <w:sz w:val="33"/>
          <w:szCs w:val="33"/>
        </w:rPr>
        <w:t>6 milliards de bénéfice net au</w:t>
      </w:r>
      <w:r w:rsidRPr="00377C8C">
        <w:rPr>
          <w:rFonts w:asciiTheme="majorHAnsi" w:eastAsiaTheme="majorEastAsia" w:hAnsiTheme="majorHAnsi" w:cstheme="majorBidi"/>
          <w:b/>
          <w:bCs/>
          <w:i/>
          <w:iCs/>
          <w:color w:val="FFFFFF" w:themeColor="background1"/>
          <w:spacing w:val="-4"/>
          <w:sz w:val="33"/>
          <w:szCs w:val="33"/>
        </w:rPr>
        <w:t xml:space="preserve"> </w:t>
      </w:r>
      <w:r w:rsidRPr="00377C8C">
        <w:rPr>
          <w:rFonts w:asciiTheme="majorHAnsi" w:eastAsiaTheme="majorEastAsia" w:hAnsiTheme="majorHAnsi" w:cstheme="majorBidi"/>
          <w:b/>
          <w:bCs/>
          <w:i/>
          <w:iCs/>
          <w:spacing w:val="-4"/>
          <w:sz w:val="33"/>
          <w:szCs w:val="33"/>
        </w:rPr>
        <w:t>1</w:t>
      </w:r>
      <w:r w:rsidRPr="00377C8C">
        <w:rPr>
          <w:rFonts w:asciiTheme="majorHAnsi" w:eastAsiaTheme="majorEastAsia" w:hAnsiTheme="majorHAnsi" w:cstheme="majorBidi"/>
          <w:b/>
          <w:bCs/>
          <w:i/>
          <w:iCs/>
          <w:spacing w:val="-4"/>
          <w:sz w:val="33"/>
          <w:szCs w:val="33"/>
          <w:vertAlign w:val="superscript"/>
        </w:rPr>
        <w:t>er</w:t>
      </w:r>
      <w:r w:rsidRPr="00377C8C">
        <w:rPr>
          <w:rFonts w:asciiTheme="majorHAnsi" w:eastAsiaTheme="majorEastAsia" w:hAnsiTheme="majorHAnsi" w:cstheme="majorBidi"/>
          <w:b/>
          <w:bCs/>
          <w:i/>
          <w:iCs/>
          <w:spacing w:val="-4"/>
          <w:sz w:val="33"/>
          <w:szCs w:val="33"/>
        </w:rPr>
        <w:t xml:space="preserve"> semestre 2021</w:t>
      </w:r>
      <w:r w:rsidRPr="00377C8C">
        <w:rPr>
          <w:rFonts w:asciiTheme="majorHAnsi" w:eastAsiaTheme="majorEastAsia" w:hAnsiTheme="majorHAnsi" w:cstheme="majorBidi"/>
          <w:i/>
          <w:iCs/>
          <w:spacing w:val="-4"/>
          <w:sz w:val="33"/>
          <w:szCs w:val="33"/>
        </w:rPr>
        <w:t xml:space="preserve">, les </w:t>
      </w:r>
      <w:r w:rsidR="007036DE" w:rsidRPr="00377C8C">
        <w:rPr>
          <w:rFonts w:asciiTheme="majorHAnsi" w:eastAsiaTheme="majorEastAsia" w:hAnsiTheme="majorHAnsi" w:cstheme="majorBidi"/>
          <w:i/>
          <w:iCs/>
          <w:spacing w:val="-4"/>
          <w:sz w:val="33"/>
          <w:szCs w:val="33"/>
        </w:rPr>
        <w:t>386</w:t>
      </w:r>
      <w:r w:rsidR="001017FD" w:rsidRPr="00377C8C">
        <w:rPr>
          <w:rFonts w:asciiTheme="majorHAnsi" w:eastAsiaTheme="majorEastAsia" w:hAnsiTheme="majorHAnsi" w:cstheme="majorBidi"/>
          <w:i/>
          <w:iCs/>
          <w:spacing w:val="-4"/>
          <w:sz w:val="33"/>
          <w:szCs w:val="33"/>
        </w:rPr>
        <w:t xml:space="preserve"> </w:t>
      </w:r>
      <w:r w:rsidRPr="00377C8C">
        <w:rPr>
          <w:rFonts w:asciiTheme="majorHAnsi" w:eastAsiaTheme="majorEastAsia" w:hAnsiTheme="majorHAnsi" w:cstheme="majorBidi"/>
          <w:i/>
          <w:iCs/>
          <w:spacing w:val="-4"/>
          <w:sz w:val="33"/>
          <w:szCs w:val="33"/>
        </w:rPr>
        <w:t xml:space="preserve">millions d’augmentation de salaires pour l’ensemble des 40.000 salariés </w:t>
      </w:r>
      <w:r w:rsidR="00E065A1" w:rsidRPr="00377C8C">
        <w:rPr>
          <w:rFonts w:asciiTheme="majorHAnsi" w:eastAsiaTheme="majorEastAsia" w:hAnsiTheme="majorHAnsi" w:cstheme="majorBidi"/>
          <w:i/>
          <w:iCs/>
          <w:spacing w:val="-4"/>
          <w:sz w:val="33"/>
          <w:szCs w:val="33"/>
        </w:rPr>
        <w:t>en France</w:t>
      </w:r>
      <w:r w:rsidRPr="00377C8C">
        <w:rPr>
          <w:rFonts w:asciiTheme="majorHAnsi" w:eastAsiaTheme="majorEastAsia" w:hAnsiTheme="majorHAnsi" w:cstheme="majorBidi"/>
          <w:i/>
          <w:iCs/>
          <w:spacing w:val="-4"/>
          <w:sz w:val="33"/>
          <w:szCs w:val="33"/>
        </w:rPr>
        <w:t xml:space="preserve"> ne représenteraient que </w:t>
      </w:r>
      <w:r w:rsidR="007036DE" w:rsidRPr="00377C8C">
        <w:rPr>
          <w:rFonts w:asciiTheme="majorHAnsi" w:eastAsiaTheme="majorEastAsia" w:hAnsiTheme="majorHAnsi" w:cstheme="majorBidi"/>
          <w:i/>
          <w:iCs/>
          <w:spacing w:val="-4"/>
          <w:sz w:val="33"/>
          <w:szCs w:val="33"/>
        </w:rPr>
        <w:t>6,43</w:t>
      </w:r>
      <w:r w:rsidRPr="00377C8C">
        <w:rPr>
          <w:rFonts w:asciiTheme="majorHAnsi" w:eastAsiaTheme="majorEastAsia" w:hAnsiTheme="majorHAnsi" w:cstheme="majorBidi"/>
          <w:i/>
          <w:iCs/>
          <w:spacing w:val="-4"/>
          <w:sz w:val="33"/>
          <w:szCs w:val="33"/>
        </w:rPr>
        <w:t>% des bénéfices du 1</w:t>
      </w:r>
      <w:r w:rsidRPr="00377C8C">
        <w:rPr>
          <w:rFonts w:asciiTheme="majorHAnsi" w:eastAsiaTheme="majorEastAsia" w:hAnsiTheme="majorHAnsi" w:cstheme="majorBidi"/>
          <w:i/>
          <w:iCs/>
          <w:spacing w:val="-4"/>
          <w:sz w:val="33"/>
          <w:szCs w:val="33"/>
          <w:vertAlign w:val="superscript"/>
        </w:rPr>
        <w:t>er</w:t>
      </w:r>
      <w:r w:rsidRPr="00377C8C">
        <w:rPr>
          <w:rFonts w:asciiTheme="majorHAnsi" w:eastAsiaTheme="majorEastAsia" w:hAnsiTheme="majorHAnsi" w:cstheme="majorBidi"/>
          <w:i/>
          <w:iCs/>
          <w:spacing w:val="-4"/>
          <w:sz w:val="33"/>
          <w:szCs w:val="33"/>
        </w:rPr>
        <w:t xml:space="preserve"> semestre.</w:t>
      </w:r>
    </w:p>
    <w:p w14:paraId="17EA96BF" w14:textId="4CFEE09F" w:rsidR="001017FD" w:rsidRPr="00377C8C" w:rsidRDefault="00781751" w:rsidP="00377C8C">
      <w:pPr>
        <w:pBdr>
          <w:top w:val="threeDEmboss" w:sz="24" w:space="1" w:color="FF0000"/>
          <w:left w:val="threeDEmboss" w:sz="24" w:space="4" w:color="FF0000"/>
          <w:bottom w:val="threeDEngrave" w:sz="24" w:space="1" w:color="FF0000"/>
          <w:right w:val="threeDEngrave" w:sz="24" w:space="4" w:color="FF0000"/>
        </w:pBdr>
        <w:spacing w:after="80" w:line="240" w:lineRule="auto"/>
        <w:ind w:right="212"/>
        <w:jc w:val="center"/>
        <w:rPr>
          <w:rFonts w:asciiTheme="majorHAnsi" w:eastAsiaTheme="majorEastAsia" w:hAnsiTheme="majorHAnsi" w:cstheme="majorBidi"/>
          <w:b/>
          <w:bCs/>
          <w:i/>
          <w:iCs/>
          <w:sz w:val="33"/>
          <w:szCs w:val="33"/>
        </w:rPr>
      </w:pPr>
      <w:r w:rsidRPr="00377C8C">
        <w:rPr>
          <w:rFonts w:asciiTheme="majorHAnsi" w:eastAsiaTheme="majorEastAsia" w:hAnsiTheme="majorHAnsi" w:cstheme="majorBidi"/>
          <w:i/>
          <w:iCs/>
          <w:sz w:val="33"/>
          <w:szCs w:val="33"/>
        </w:rPr>
        <w:t>Il</w:t>
      </w:r>
      <w:r w:rsidR="001017FD" w:rsidRPr="00377C8C">
        <w:rPr>
          <w:rFonts w:asciiTheme="majorHAnsi" w:eastAsiaTheme="majorEastAsia" w:hAnsiTheme="majorHAnsi" w:cstheme="majorBidi"/>
          <w:i/>
          <w:iCs/>
          <w:sz w:val="33"/>
          <w:szCs w:val="33"/>
        </w:rPr>
        <w:t xml:space="preserve"> resterait encore</w:t>
      </w:r>
      <w:r w:rsidRPr="00377C8C">
        <w:rPr>
          <w:rFonts w:asciiTheme="majorHAnsi" w:eastAsiaTheme="majorEastAsia" w:hAnsiTheme="majorHAnsi" w:cstheme="majorBidi"/>
          <w:i/>
          <w:iCs/>
          <w:sz w:val="33"/>
          <w:szCs w:val="33"/>
        </w:rPr>
        <w:t xml:space="preserve"> 5,</w:t>
      </w:r>
      <w:r w:rsidR="007036DE" w:rsidRPr="00377C8C">
        <w:rPr>
          <w:rFonts w:asciiTheme="majorHAnsi" w:eastAsiaTheme="majorEastAsia" w:hAnsiTheme="majorHAnsi" w:cstheme="majorBidi"/>
          <w:i/>
          <w:iCs/>
          <w:sz w:val="33"/>
          <w:szCs w:val="33"/>
        </w:rPr>
        <w:t>6</w:t>
      </w:r>
      <w:r w:rsidRPr="00377C8C">
        <w:rPr>
          <w:rFonts w:asciiTheme="majorHAnsi" w:eastAsiaTheme="majorEastAsia" w:hAnsiTheme="majorHAnsi" w:cstheme="majorBidi"/>
          <w:i/>
          <w:iCs/>
          <w:sz w:val="33"/>
          <w:szCs w:val="33"/>
        </w:rPr>
        <w:t xml:space="preserve"> milliards pour les investissements et les actionnaires ! </w:t>
      </w:r>
      <w:r w:rsidR="001017FD" w:rsidRPr="00377C8C">
        <w:rPr>
          <w:rFonts w:asciiTheme="majorHAnsi" w:eastAsiaTheme="majorEastAsia" w:hAnsiTheme="majorHAnsi" w:cstheme="majorBidi"/>
          <w:i/>
          <w:iCs/>
          <w:sz w:val="33"/>
          <w:szCs w:val="33"/>
        </w:rPr>
        <w:t xml:space="preserve">Sur l’année 2021, </w:t>
      </w:r>
      <w:r w:rsidR="001017FD" w:rsidRPr="00377C8C">
        <w:rPr>
          <w:rFonts w:asciiTheme="majorHAnsi" w:eastAsiaTheme="majorEastAsia" w:hAnsiTheme="majorHAnsi" w:cstheme="majorBidi"/>
          <w:b/>
          <w:bCs/>
          <w:i/>
          <w:iCs/>
          <w:sz w:val="33"/>
          <w:szCs w:val="33"/>
        </w:rPr>
        <w:t>Stellantis vise 12 milliards de bénéfice</w:t>
      </w:r>
      <w:r w:rsidR="007036DE" w:rsidRPr="00377C8C">
        <w:rPr>
          <w:rFonts w:asciiTheme="majorHAnsi" w:eastAsiaTheme="majorEastAsia" w:hAnsiTheme="majorHAnsi" w:cstheme="majorBidi"/>
          <w:b/>
          <w:bCs/>
          <w:i/>
          <w:iCs/>
          <w:sz w:val="33"/>
          <w:szCs w:val="33"/>
        </w:rPr>
        <w:t>..</w:t>
      </w:r>
      <w:r w:rsidR="001017FD" w:rsidRPr="00377C8C">
        <w:rPr>
          <w:rFonts w:asciiTheme="majorHAnsi" w:eastAsiaTheme="majorEastAsia" w:hAnsiTheme="majorHAnsi" w:cstheme="majorBidi"/>
          <w:b/>
          <w:bCs/>
          <w:i/>
          <w:iCs/>
          <w:sz w:val="33"/>
          <w:szCs w:val="33"/>
        </w:rPr>
        <w:t>.</w:t>
      </w:r>
    </w:p>
    <w:p w14:paraId="1E48D59B" w14:textId="48C624A8" w:rsidR="002A2381" w:rsidRPr="00377C8C" w:rsidRDefault="001017FD" w:rsidP="00377C8C">
      <w:pPr>
        <w:pBdr>
          <w:top w:val="threeDEmboss" w:sz="24" w:space="1" w:color="FF0000"/>
          <w:left w:val="threeDEmboss" w:sz="24" w:space="4" w:color="FF0000"/>
          <w:bottom w:val="threeDEngrave" w:sz="24" w:space="1" w:color="FF0000"/>
          <w:right w:val="threeDEngrave" w:sz="24" w:space="4" w:color="FF0000"/>
        </w:pBdr>
        <w:shd w:val="clear" w:color="auto" w:fill="FF0000"/>
        <w:spacing w:line="240" w:lineRule="auto"/>
        <w:ind w:right="212"/>
        <w:jc w:val="center"/>
        <w:rPr>
          <w:color w:val="FFFF00"/>
          <w:sz w:val="33"/>
          <w:szCs w:val="33"/>
        </w:rPr>
      </w:pPr>
      <w:r w:rsidRPr="00377C8C">
        <w:rPr>
          <w:rFonts w:asciiTheme="majorHAnsi" w:eastAsiaTheme="majorEastAsia" w:hAnsiTheme="majorHAnsi" w:cstheme="majorBidi"/>
          <w:b/>
          <w:bCs/>
          <w:i/>
          <w:iCs/>
          <w:color w:val="FFFF00"/>
          <w:sz w:val="33"/>
          <w:szCs w:val="33"/>
        </w:rPr>
        <w:t>U</w:t>
      </w:r>
      <w:r w:rsidR="00781751" w:rsidRPr="00377C8C">
        <w:rPr>
          <w:rFonts w:asciiTheme="majorHAnsi" w:eastAsiaTheme="majorEastAsia" w:hAnsiTheme="majorHAnsi" w:cstheme="majorBidi"/>
          <w:b/>
          <w:bCs/>
          <w:i/>
          <w:iCs/>
          <w:color w:val="FFFF00"/>
          <w:sz w:val="33"/>
          <w:szCs w:val="33"/>
        </w:rPr>
        <w:t>ne revendication, ni démagogique, ni déraisonnée</w:t>
      </w:r>
      <w:r w:rsidRPr="00377C8C">
        <w:rPr>
          <w:rFonts w:asciiTheme="majorHAnsi" w:eastAsiaTheme="majorEastAsia" w:hAnsiTheme="majorHAnsi" w:cstheme="majorBidi"/>
          <w:b/>
          <w:bCs/>
          <w:i/>
          <w:iCs/>
          <w:color w:val="FFFF00"/>
          <w:sz w:val="33"/>
          <w:szCs w:val="33"/>
        </w:rPr>
        <w:t> !</w:t>
      </w:r>
    </w:p>
    <w:sectPr w:rsidR="002A2381" w:rsidRPr="00377C8C" w:rsidSect="00377C8C">
      <w:type w:val="continuous"/>
      <w:pgSz w:w="11906" w:h="16838"/>
      <w:pgMar w:top="425" w:right="425" w:bottom="142" w:left="709"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4CE5" w14:textId="77777777" w:rsidR="00316E92" w:rsidRDefault="00316E92">
      <w:pPr>
        <w:spacing w:after="0" w:line="240" w:lineRule="auto"/>
      </w:pPr>
      <w:r>
        <w:separator/>
      </w:r>
    </w:p>
  </w:endnote>
  <w:endnote w:type="continuationSeparator" w:id="0">
    <w:p w14:paraId="4C811884" w14:textId="77777777" w:rsidR="00316E92" w:rsidRDefault="0031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8496" w14:textId="77777777" w:rsidR="000E4C01" w:rsidRDefault="00CF21CB" w:rsidP="000E4C01">
    <w:pPr>
      <w:pStyle w:val="Pieddepage"/>
      <w:pBdr>
        <w:top w:val="single" w:sz="12" w:space="1"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13AC3753" w14:textId="77777777" w:rsidR="000E4C01" w:rsidRPr="006078DF" w:rsidRDefault="00CF21CB" w:rsidP="000E4C0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81A7" w14:textId="77777777" w:rsidR="00316E92" w:rsidRDefault="00316E92">
      <w:pPr>
        <w:spacing w:after="0" w:line="240" w:lineRule="auto"/>
      </w:pPr>
      <w:r>
        <w:separator/>
      </w:r>
    </w:p>
  </w:footnote>
  <w:footnote w:type="continuationSeparator" w:id="0">
    <w:p w14:paraId="228C418A" w14:textId="77777777" w:rsidR="00316E92" w:rsidRDefault="00316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1768"/>
    <w:multiLevelType w:val="hybridMultilevel"/>
    <w:tmpl w:val="4E9082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732F20"/>
    <w:multiLevelType w:val="hybridMultilevel"/>
    <w:tmpl w:val="D2E8A002"/>
    <w:lvl w:ilvl="0" w:tplc="92C4FB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CE5284"/>
    <w:multiLevelType w:val="hybridMultilevel"/>
    <w:tmpl w:val="B7361C8E"/>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6F5053"/>
    <w:multiLevelType w:val="hybridMultilevel"/>
    <w:tmpl w:val="DB26D59A"/>
    <w:lvl w:ilvl="0" w:tplc="3FF878DA">
      <w:start w:val="1"/>
      <w:numFmt w:val="bullet"/>
      <w:lvlText w:val=""/>
      <w:lvlJc w:val="left"/>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C3"/>
    <w:rsid w:val="00000E67"/>
    <w:rsid w:val="00007B21"/>
    <w:rsid w:val="00025EF8"/>
    <w:rsid w:val="00027684"/>
    <w:rsid w:val="00052B89"/>
    <w:rsid w:val="00053ABA"/>
    <w:rsid w:val="00055E5F"/>
    <w:rsid w:val="00086E98"/>
    <w:rsid w:val="000D0DC8"/>
    <w:rsid w:val="001017FD"/>
    <w:rsid w:val="00113D73"/>
    <w:rsid w:val="00115F41"/>
    <w:rsid w:val="00121785"/>
    <w:rsid w:val="00126D06"/>
    <w:rsid w:val="00144288"/>
    <w:rsid w:val="00170453"/>
    <w:rsid w:val="00192E8C"/>
    <w:rsid w:val="001B511D"/>
    <w:rsid w:val="001C26E8"/>
    <w:rsid w:val="001F3EB9"/>
    <w:rsid w:val="001F7716"/>
    <w:rsid w:val="002047DF"/>
    <w:rsid w:val="00205262"/>
    <w:rsid w:val="00213BF5"/>
    <w:rsid w:val="00223A0B"/>
    <w:rsid w:val="00232AF5"/>
    <w:rsid w:val="00232E1D"/>
    <w:rsid w:val="002625E8"/>
    <w:rsid w:val="002848F8"/>
    <w:rsid w:val="002A2381"/>
    <w:rsid w:val="002A6AE3"/>
    <w:rsid w:val="002F4FEA"/>
    <w:rsid w:val="00303B88"/>
    <w:rsid w:val="00316E92"/>
    <w:rsid w:val="003442DA"/>
    <w:rsid w:val="00377C8C"/>
    <w:rsid w:val="00382E03"/>
    <w:rsid w:val="00383169"/>
    <w:rsid w:val="003A7E07"/>
    <w:rsid w:val="003C7D46"/>
    <w:rsid w:val="003D7AE9"/>
    <w:rsid w:val="003E4DA8"/>
    <w:rsid w:val="00400D6D"/>
    <w:rsid w:val="004028B6"/>
    <w:rsid w:val="004129E5"/>
    <w:rsid w:val="00437163"/>
    <w:rsid w:val="0045133C"/>
    <w:rsid w:val="00452047"/>
    <w:rsid w:val="004560C2"/>
    <w:rsid w:val="004747CD"/>
    <w:rsid w:val="00481B0F"/>
    <w:rsid w:val="00496682"/>
    <w:rsid w:val="004F221B"/>
    <w:rsid w:val="005049E1"/>
    <w:rsid w:val="00504C65"/>
    <w:rsid w:val="00550476"/>
    <w:rsid w:val="00573EA9"/>
    <w:rsid w:val="0059543A"/>
    <w:rsid w:val="005E1B9D"/>
    <w:rsid w:val="005E233D"/>
    <w:rsid w:val="005E7A1F"/>
    <w:rsid w:val="005F0611"/>
    <w:rsid w:val="006248CE"/>
    <w:rsid w:val="00636DF0"/>
    <w:rsid w:val="0064429B"/>
    <w:rsid w:val="00644350"/>
    <w:rsid w:val="006544B4"/>
    <w:rsid w:val="006609F8"/>
    <w:rsid w:val="00666C37"/>
    <w:rsid w:val="006A3F89"/>
    <w:rsid w:val="006C03ED"/>
    <w:rsid w:val="006E12D7"/>
    <w:rsid w:val="006F0B05"/>
    <w:rsid w:val="007036DE"/>
    <w:rsid w:val="00727B0C"/>
    <w:rsid w:val="00773724"/>
    <w:rsid w:val="00781751"/>
    <w:rsid w:val="00782949"/>
    <w:rsid w:val="007B6E38"/>
    <w:rsid w:val="007D6F36"/>
    <w:rsid w:val="007E0DD1"/>
    <w:rsid w:val="007F6F1E"/>
    <w:rsid w:val="00814D07"/>
    <w:rsid w:val="00827036"/>
    <w:rsid w:val="008414C3"/>
    <w:rsid w:val="0086445F"/>
    <w:rsid w:val="00876A2E"/>
    <w:rsid w:val="00897763"/>
    <w:rsid w:val="008C5026"/>
    <w:rsid w:val="008D2522"/>
    <w:rsid w:val="008D3A58"/>
    <w:rsid w:val="008F4B0C"/>
    <w:rsid w:val="0090399E"/>
    <w:rsid w:val="00915005"/>
    <w:rsid w:val="00924F43"/>
    <w:rsid w:val="00927198"/>
    <w:rsid w:val="00935E68"/>
    <w:rsid w:val="0097713B"/>
    <w:rsid w:val="009B6E22"/>
    <w:rsid w:val="009C6E04"/>
    <w:rsid w:val="009F1D10"/>
    <w:rsid w:val="009F375E"/>
    <w:rsid w:val="00A020F7"/>
    <w:rsid w:val="00A140EC"/>
    <w:rsid w:val="00A36E78"/>
    <w:rsid w:val="00A373B0"/>
    <w:rsid w:val="00A60475"/>
    <w:rsid w:val="00A6133D"/>
    <w:rsid w:val="00A77ABE"/>
    <w:rsid w:val="00A80609"/>
    <w:rsid w:val="00A97AD0"/>
    <w:rsid w:val="00AD1EFA"/>
    <w:rsid w:val="00B07433"/>
    <w:rsid w:val="00B34657"/>
    <w:rsid w:val="00B42508"/>
    <w:rsid w:val="00B66019"/>
    <w:rsid w:val="00B667B9"/>
    <w:rsid w:val="00B70564"/>
    <w:rsid w:val="00B72C7F"/>
    <w:rsid w:val="00B74DA0"/>
    <w:rsid w:val="00BB4B55"/>
    <w:rsid w:val="00BF0F1E"/>
    <w:rsid w:val="00BF76DB"/>
    <w:rsid w:val="00C00E9A"/>
    <w:rsid w:val="00C07C6B"/>
    <w:rsid w:val="00C126F2"/>
    <w:rsid w:val="00C26B64"/>
    <w:rsid w:val="00C423BF"/>
    <w:rsid w:val="00C7569C"/>
    <w:rsid w:val="00C756F3"/>
    <w:rsid w:val="00C81271"/>
    <w:rsid w:val="00C826F1"/>
    <w:rsid w:val="00C9504F"/>
    <w:rsid w:val="00CA3694"/>
    <w:rsid w:val="00CD0EF4"/>
    <w:rsid w:val="00CE2D7E"/>
    <w:rsid w:val="00CE4FC9"/>
    <w:rsid w:val="00CF21CB"/>
    <w:rsid w:val="00CF2F8A"/>
    <w:rsid w:val="00D24CE4"/>
    <w:rsid w:val="00D41F9B"/>
    <w:rsid w:val="00D42AA9"/>
    <w:rsid w:val="00D545C8"/>
    <w:rsid w:val="00D61C2E"/>
    <w:rsid w:val="00D679D0"/>
    <w:rsid w:val="00D73221"/>
    <w:rsid w:val="00D82BF6"/>
    <w:rsid w:val="00D87DB5"/>
    <w:rsid w:val="00DD3927"/>
    <w:rsid w:val="00DD406E"/>
    <w:rsid w:val="00DE62B6"/>
    <w:rsid w:val="00E065A1"/>
    <w:rsid w:val="00E32099"/>
    <w:rsid w:val="00E4348C"/>
    <w:rsid w:val="00E46A85"/>
    <w:rsid w:val="00E470BC"/>
    <w:rsid w:val="00E64B17"/>
    <w:rsid w:val="00F27A98"/>
    <w:rsid w:val="00F300C1"/>
    <w:rsid w:val="00F34F96"/>
    <w:rsid w:val="00F4249D"/>
    <w:rsid w:val="00F57964"/>
    <w:rsid w:val="00F626FD"/>
    <w:rsid w:val="00F67551"/>
    <w:rsid w:val="00FA5909"/>
    <w:rsid w:val="00FB35D3"/>
    <w:rsid w:val="00FD0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9654"/>
  <w15:docId w15:val="{D963BBA9-C9D0-4124-BBD8-7D881A3F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133C"/>
    <w:pPr>
      <w:ind w:left="720"/>
      <w:contextualSpacing/>
    </w:pPr>
  </w:style>
  <w:style w:type="paragraph" w:styleId="Pieddepage">
    <w:name w:val="footer"/>
    <w:basedOn w:val="Normal"/>
    <w:link w:val="PieddepageCar"/>
    <w:uiPriority w:val="99"/>
    <w:unhideWhenUsed/>
    <w:rsid w:val="00451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33C"/>
  </w:style>
  <w:style w:type="table" w:styleId="Grilledutableau">
    <w:name w:val="Table Grid"/>
    <w:basedOn w:val="TableauNormal"/>
    <w:uiPriority w:val="59"/>
    <w:rsid w:val="0045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513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133C"/>
    <w:rPr>
      <w:rFonts w:ascii="Tahoma" w:hAnsi="Tahoma" w:cs="Tahoma"/>
      <w:sz w:val="16"/>
      <w:szCs w:val="16"/>
    </w:rPr>
  </w:style>
  <w:style w:type="paragraph" w:styleId="NormalWeb">
    <w:name w:val="Normal (Web)"/>
    <w:basedOn w:val="Normal"/>
    <w:uiPriority w:val="99"/>
    <w:unhideWhenUsed/>
    <w:rsid w:val="00B66019"/>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4363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AURORE BOUSSARD</cp:lastModifiedBy>
  <cp:revision>3</cp:revision>
  <cp:lastPrinted>2022-02-14T09:44:00Z</cp:lastPrinted>
  <dcterms:created xsi:type="dcterms:W3CDTF">2022-02-15T09:24:00Z</dcterms:created>
  <dcterms:modified xsi:type="dcterms:W3CDTF">2022-02-15T09:24:00Z</dcterms:modified>
</cp:coreProperties>
</file>